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6D71C" w14:textId="2AD4E23D" w:rsidR="00D12A6C" w:rsidRPr="00BA0B05" w:rsidRDefault="00D12A6C" w:rsidP="00D12A6C">
      <w:pPr>
        <w:tabs>
          <w:tab w:val="center" w:pos="4536"/>
          <w:tab w:val="right" w:pos="7938"/>
          <w:tab w:val="right" w:pos="9639"/>
        </w:tabs>
        <w:ind w:right="2"/>
        <w:rPr>
          <w:rFonts w:ascii="Arial" w:hAnsi="Arial" w:cs="Arial"/>
          <w:b/>
          <w:bCs/>
          <w:lang w:val="en-US"/>
        </w:rPr>
      </w:pPr>
      <w:r w:rsidRPr="00D12A6C">
        <w:rPr>
          <w:rFonts w:ascii="Arial" w:hAnsi="Arial" w:cs="Arial"/>
          <w:b/>
          <w:bCs/>
        </w:rPr>
        <w:t>3GPP TSG RAN WG1 #106-e</w:t>
      </w:r>
      <w:r w:rsidRPr="00D12A6C">
        <w:rPr>
          <w:rFonts w:ascii="Arial" w:hAnsi="Arial" w:cs="Arial"/>
          <w:b/>
          <w:bCs/>
        </w:rPr>
        <w:tab/>
      </w:r>
      <w:r w:rsidRPr="00D12A6C">
        <w:rPr>
          <w:rFonts w:ascii="Arial" w:hAnsi="Arial" w:cs="Arial"/>
          <w:b/>
          <w:bCs/>
        </w:rPr>
        <w:tab/>
      </w:r>
      <w:r w:rsidRPr="00D12A6C">
        <w:rPr>
          <w:rFonts w:ascii="Arial" w:hAnsi="Arial" w:cs="Arial"/>
          <w:b/>
          <w:bCs/>
        </w:rPr>
        <w:tab/>
        <w:t>R1-210</w:t>
      </w:r>
      <w:r w:rsidR="00BA0B05">
        <w:rPr>
          <w:rFonts w:ascii="Arial" w:hAnsi="Arial" w:cs="Arial"/>
          <w:b/>
          <w:bCs/>
          <w:lang w:val="en-US"/>
        </w:rPr>
        <w:t>7707</w:t>
      </w:r>
    </w:p>
    <w:p w14:paraId="27B72C68" w14:textId="77777777" w:rsidR="00D12A6C" w:rsidRPr="00D12A6C" w:rsidRDefault="00D12A6C" w:rsidP="00D12A6C">
      <w:pPr>
        <w:tabs>
          <w:tab w:val="center" w:pos="4536"/>
          <w:tab w:val="right" w:pos="9072"/>
        </w:tabs>
        <w:rPr>
          <w:rFonts w:ascii="Arial" w:eastAsia="MS Mincho" w:hAnsi="Arial" w:cs="Arial"/>
          <w:b/>
          <w:bCs/>
          <w:lang w:eastAsia="ja-JP"/>
        </w:rPr>
      </w:pPr>
      <w:r w:rsidRPr="00D12A6C">
        <w:rPr>
          <w:rFonts w:ascii="Arial" w:eastAsia="MS Mincho" w:hAnsi="Arial" w:cs="Arial"/>
          <w:b/>
          <w:bCs/>
          <w:lang w:eastAsia="ja-JP"/>
        </w:rPr>
        <w:t>e-Meeting, August 16</w:t>
      </w:r>
      <w:r w:rsidRPr="00D12A6C">
        <w:rPr>
          <w:rFonts w:ascii="Arial" w:eastAsia="MS Mincho" w:hAnsi="Arial" w:cs="Arial"/>
          <w:b/>
          <w:bCs/>
          <w:vertAlign w:val="superscript"/>
          <w:lang w:eastAsia="ja-JP"/>
        </w:rPr>
        <w:t>th</w:t>
      </w:r>
      <w:r w:rsidRPr="00D12A6C">
        <w:rPr>
          <w:rFonts w:ascii="Arial" w:eastAsia="MS Mincho" w:hAnsi="Arial" w:cs="Arial"/>
          <w:b/>
          <w:bCs/>
          <w:lang w:eastAsia="ja-JP"/>
        </w:rPr>
        <w:t xml:space="preserve"> – 27</w:t>
      </w:r>
      <w:r w:rsidRPr="00D12A6C">
        <w:rPr>
          <w:rFonts w:ascii="Arial" w:eastAsia="MS Mincho" w:hAnsi="Arial" w:cs="Arial"/>
          <w:b/>
          <w:bCs/>
          <w:vertAlign w:val="superscript"/>
          <w:lang w:eastAsia="ja-JP"/>
        </w:rPr>
        <w:t>th</w:t>
      </w:r>
      <w:r w:rsidRPr="00D12A6C">
        <w:rPr>
          <w:rFonts w:ascii="Arial" w:eastAsia="MS Mincho" w:hAnsi="Arial" w:cs="Arial"/>
          <w:b/>
          <w:bCs/>
          <w:lang w:eastAsia="ja-JP"/>
        </w:rPr>
        <w:t>, 2021</w:t>
      </w:r>
    </w:p>
    <w:p w14:paraId="16A358E8" w14:textId="77777777" w:rsidR="008C2DC1" w:rsidRPr="0092682D" w:rsidRDefault="008C2DC1" w:rsidP="008C2DC1">
      <w:pPr>
        <w:tabs>
          <w:tab w:val="left" w:pos="1985"/>
        </w:tabs>
        <w:jc w:val="both"/>
        <w:rPr>
          <w:rFonts w:ascii="Arial" w:hAnsi="Arial" w:cs="Arial"/>
          <w:highlight w:val="yellow"/>
        </w:rPr>
      </w:pPr>
    </w:p>
    <w:p w14:paraId="74071BAA" w14:textId="32A34D60"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677E21">
        <w:rPr>
          <w:rFonts w:ascii="Arial" w:hAnsi="Arial" w:cs="Arial"/>
          <w:b/>
          <w:lang w:val="en-US"/>
        </w:rPr>
        <w:t>5</w:t>
      </w:r>
      <w:r w:rsidR="00C67DA4">
        <w:rPr>
          <w:rFonts w:ascii="Arial" w:hAnsi="Arial" w:cs="Arial"/>
          <w:b/>
          <w:lang w:val="en-US"/>
        </w:rPr>
        <w:t>.2</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53AAAECB"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E3567C" w:rsidRPr="00E3567C">
        <w:rPr>
          <w:rFonts w:ascii="Arial" w:hAnsi="Arial" w:cs="Arial"/>
          <w:b/>
          <w:lang w:val="en-US"/>
        </w:rPr>
        <w:t>Discussion on physical layer aspects of small data transmission</w:t>
      </w:r>
    </w:p>
    <w:p w14:paraId="258C8BD2" w14:textId="64A1D9B3"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4E71F2" w:rsidRPr="004E71F2">
        <w:rPr>
          <w:rFonts w:ascii="Arial" w:hAnsi="Arial" w:cs="Arial"/>
          <w:b/>
          <w:lang w:val="en-US"/>
        </w:rPr>
        <w:t>Discussion/Decision</w:t>
      </w:r>
    </w:p>
    <w:p w14:paraId="546CFCCA" w14:textId="77777777" w:rsidR="0025389B" w:rsidRPr="00487A13" w:rsidRDefault="0025389B" w:rsidP="0025389B">
      <w:pPr>
        <w:pStyle w:val="Heading1"/>
      </w:pPr>
      <w:r>
        <w:t>Introduction</w:t>
      </w:r>
    </w:p>
    <w:p w14:paraId="68DFA3C3" w14:textId="2FCA37A1" w:rsidR="0039135A" w:rsidRDefault="0039135A" w:rsidP="0025389B">
      <w:pPr>
        <w:spacing w:after="120"/>
        <w:rPr>
          <w:rFonts w:eastAsia="SimSun"/>
          <w:noProof/>
          <w:sz w:val="20"/>
          <w:szCs w:val="20"/>
          <w:lang w:val="en-US" w:eastAsia="en-US"/>
        </w:rPr>
      </w:pPr>
      <w:r>
        <w:rPr>
          <w:rFonts w:eastAsia="SimSun"/>
          <w:noProof/>
          <w:sz w:val="20"/>
          <w:szCs w:val="20"/>
          <w:lang w:val="en-US" w:eastAsia="en-US"/>
        </w:rPr>
        <w:t xml:space="preserve">NR small data enhancement WI was started in RAN2#112-e meeting, an LS [1] was sent to RAN1 to request RAN1’s inputs on the following questions. </w:t>
      </w:r>
    </w:p>
    <w:p w14:paraId="53002D72" w14:textId="77777777" w:rsidR="0039135A" w:rsidRPr="0039135A" w:rsidRDefault="0039135A" w:rsidP="00042EFB">
      <w:pPr>
        <w:numPr>
          <w:ilvl w:val="0"/>
          <w:numId w:val="9"/>
        </w:numPr>
        <w:spacing w:after="120"/>
        <w:rPr>
          <w:rFonts w:eastAsia="SimSun"/>
          <w:bCs/>
          <w:noProof/>
          <w:sz w:val="20"/>
          <w:szCs w:val="20"/>
          <w:lang w:val="en-GB" w:eastAsia="en-US"/>
        </w:rPr>
      </w:pPr>
      <w:r w:rsidRPr="0039135A">
        <w:rPr>
          <w:rFonts w:eastAsia="SimSun"/>
          <w:bCs/>
          <w:noProof/>
          <w:sz w:val="20"/>
          <w:szCs w:val="20"/>
          <w:lang w:val="en-GB" w:eastAsia="en-US"/>
        </w:rPr>
        <w:t xml:space="preserve">Configuration of the coreset and search space for monitoring the PDCCH addressed to the C-RNTI after successful completion of the RACH procedure during RA-SDT. </w:t>
      </w:r>
    </w:p>
    <w:p w14:paraId="1CDACB58" w14:textId="3C91CAA2" w:rsidR="00FE526D" w:rsidRPr="0039135A" w:rsidRDefault="0039135A" w:rsidP="00042EFB">
      <w:pPr>
        <w:numPr>
          <w:ilvl w:val="0"/>
          <w:numId w:val="9"/>
        </w:numPr>
        <w:spacing w:after="120"/>
        <w:rPr>
          <w:rFonts w:eastAsia="SimSun"/>
          <w:bCs/>
          <w:noProof/>
          <w:sz w:val="20"/>
          <w:szCs w:val="20"/>
          <w:lang w:val="en-GB" w:eastAsia="en-US"/>
        </w:rPr>
      </w:pPr>
      <w:r w:rsidRPr="0039135A">
        <w:rPr>
          <w:rFonts w:eastAsia="SimSun"/>
          <w:bCs/>
          <w:noProof/>
          <w:sz w:val="20"/>
          <w:szCs w:val="20"/>
          <w:lang w:val="en-GB" w:eastAsia="en-US"/>
        </w:rPr>
        <w:t>Configuration of association between the type 1 CG resource(s) for CG-SDT and SSB(s)</w:t>
      </w:r>
      <w:r w:rsidR="004072F8" w:rsidRPr="0039135A">
        <w:rPr>
          <w:rFonts w:eastAsia="SimSun"/>
          <w:noProof/>
          <w:sz w:val="20"/>
          <w:szCs w:val="20"/>
          <w:lang w:val="en-US" w:eastAsia="en-US"/>
        </w:rPr>
        <w:t>.</w:t>
      </w:r>
    </w:p>
    <w:p w14:paraId="7E4EDD43" w14:textId="18E56E00" w:rsidR="00D45271" w:rsidRDefault="003367FA" w:rsidP="006938F8">
      <w:pPr>
        <w:spacing w:after="120"/>
        <w:rPr>
          <w:rFonts w:eastAsia="MS Mincho"/>
          <w:sz w:val="20"/>
          <w:szCs w:val="20"/>
          <w:lang w:val="en-US" w:eastAsia="ja-JP"/>
        </w:rPr>
      </w:pPr>
      <w:r>
        <w:rPr>
          <w:rFonts w:eastAsia="MS Mincho"/>
          <w:sz w:val="20"/>
          <w:szCs w:val="20"/>
          <w:lang w:val="en-US" w:eastAsia="ja-JP"/>
        </w:rPr>
        <w:t>And in RAN1#104</w:t>
      </w:r>
      <w:r w:rsidR="002F1C3D">
        <w:rPr>
          <w:rFonts w:eastAsia="MS Mincho"/>
          <w:sz w:val="20"/>
          <w:szCs w:val="20"/>
          <w:lang w:val="en-US" w:eastAsia="ja-JP"/>
        </w:rPr>
        <w:t>b</w:t>
      </w:r>
      <w:r w:rsidR="00796C70">
        <w:rPr>
          <w:rFonts w:eastAsia="MS Mincho"/>
          <w:sz w:val="20"/>
          <w:szCs w:val="20"/>
          <w:lang w:val="en-US" w:eastAsia="ja-JP"/>
        </w:rPr>
        <w:t>is</w:t>
      </w:r>
      <w:r>
        <w:rPr>
          <w:rFonts w:eastAsia="MS Mincho"/>
          <w:sz w:val="20"/>
          <w:szCs w:val="20"/>
          <w:lang w:val="en-US" w:eastAsia="ja-JP"/>
        </w:rPr>
        <w:t xml:space="preserve">-e meeting, the following </w:t>
      </w:r>
      <w:r w:rsidR="005702B8">
        <w:rPr>
          <w:rFonts w:eastAsia="MS Mincho"/>
          <w:sz w:val="20"/>
          <w:szCs w:val="20"/>
          <w:lang w:val="en-US" w:eastAsia="ja-JP"/>
        </w:rPr>
        <w:t>agreement</w:t>
      </w:r>
      <w:r w:rsidR="00D45271">
        <w:rPr>
          <w:rFonts w:eastAsia="MS Mincho"/>
          <w:sz w:val="20"/>
          <w:szCs w:val="20"/>
          <w:lang w:val="en-US" w:eastAsia="ja-JP"/>
        </w:rPr>
        <w:t xml:space="preserve"> had been made</w:t>
      </w:r>
      <w:r w:rsidR="00D45271" w:rsidRPr="00D45271">
        <w:rPr>
          <w:rFonts w:eastAsia="MS Mincho"/>
          <w:sz w:val="20"/>
          <w:szCs w:val="20"/>
          <w:lang w:val="en-US" w:eastAsia="ja-JP"/>
        </w:rPr>
        <w:t xml:space="preserve"> </w:t>
      </w:r>
      <w:r w:rsidR="00D45271">
        <w:rPr>
          <w:rFonts w:eastAsia="MS Mincho"/>
          <w:sz w:val="20"/>
          <w:szCs w:val="20"/>
          <w:lang w:val="en-US" w:eastAsia="ja-JP"/>
        </w:rPr>
        <w:t xml:space="preserve">for </w:t>
      </w:r>
      <w:r w:rsidR="002F1C3D">
        <w:rPr>
          <w:rFonts w:eastAsia="MS Mincho"/>
          <w:sz w:val="20"/>
          <w:szCs w:val="20"/>
          <w:lang w:val="en-US" w:eastAsia="ja-JP"/>
        </w:rPr>
        <w:t>CG</w:t>
      </w:r>
      <w:r w:rsidR="00D45271">
        <w:rPr>
          <w:rFonts w:eastAsia="MS Mincho"/>
          <w:sz w:val="20"/>
          <w:szCs w:val="20"/>
          <w:lang w:val="en-US" w:eastAsia="ja-JP"/>
        </w:rPr>
        <w:t>-SDT</w:t>
      </w:r>
      <w:r w:rsidR="006570B4">
        <w:rPr>
          <w:rFonts w:eastAsia="MS Mincho"/>
          <w:sz w:val="20"/>
          <w:szCs w:val="20"/>
          <w:lang w:val="en-US" w:eastAsia="ja-JP"/>
        </w:rPr>
        <w:t xml:space="preserve"> [2]</w:t>
      </w:r>
      <w:r w:rsidR="00D45271">
        <w:rPr>
          <w:rFonts w:eastAsia="MS Mincho"/>
          <w:sz w:val="20"/>
          <w:szCs w:val="20"/>
          <w:lang w:val="en-US" w:eastAsia="ja-JP"/>
        </w:rPr>
        <w:t>.</w:t>
      </w:r>
    </w:p>
    <w:p w14:paraId="6CB67621" w14:textId="5788FA04" w:rsidR="003367FA" w:rsidRDefault="00D45271" w:rsidP="0039135A">
      <w:pPr>
        <w:rPr>
          <w:rFonts w:eastAsia="MS Mincho"/>
          <w:sz w:val="20"/>
          <w:szCs w:val="20"/>
          <w:lang w:val="en-US" w:eastAsia="ja-JP"/>
        </w:rPr>
      </w:pPr>
      <w:r w:rsidRPr="00D45271">
        <w:rPr>
          <w:rFonts w:eastAsia="MS Mincho"/>
          <w:noProof/>
          <w:sz w:val="20"/>
          <w:szCs w:val="20"/>
          <w:lang w:val="en-US" w:eastAsia="ja-JP"/>
        </w:rPr>
        <mc:AlternateContent>
          <mc:Choice Requires="wps">
            <w:drawing>
              <wp:inline distT="0" distB="0" distL="0" distR="0" wp14:anchorId="7A15FCEC" wp14:editId="2385A5BA">
                <wp:extent cx="6120765" cy="1244607"/>
                <wp:effectExtent l="0" t="0" r="13335" b="889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44607"/>
                        </a:xfrm>
                        <a:prstGeom prst="rect">
                          <a:avLst/>
                        </a:prstGeom>
                        <a:solidFill>
                          <a:srgbClr val="FFFFFF"/>
                        </a:solidFill>
                        <a:ln w="9525">
                          <a:solidFill>
                            <a:srgbClr val="000000"/>
                          </a:solidFill>
                          <a:miter lim="800000"/>
                          <a:headEnd/>
                          <a:tailEnd/>
                        </a:ln>
                      </wps:spPr>
                      <wps:txbx>
                        <w:txbxContent>
                          <w:p w14:paraId="203EAB76" w14:textId="77777777" w:rsidR="002F1C3D" w:rsidRPr="002F1C3D" w:rsidRDefault="002F1C3D" w:rsidP="002F1C3D">
                            <w:pPr>
                              <w:rPr>
                                <w:sz w:val="20"/>
                                <w:szCs w:val="20"/>
                                <w:highlight w:val="green"/>
                              </w:rPr>
                            </w:pPr>
                            <w:r w:rsidRPr="002F1C3D">
                              <w:rPr>
                                <w:sz w:val="20"/>
                                <w:szCs w:val="20"/>
                                <w:highlight w:val="green"/>
                              </w:rPr>
                              <w:t>Agreement:</w:t>
                            </w:r>
                          </w:p>
                          <w:p w14:paraId="1F448A69" w14:textId="77777777" w:rsidR="002F1C3D" w:rsidRPr="002F1C3D" w:rsidRDefault="002F1C3D" w:rsidP="002F1C3D">
                            <w:pPr>
                              <w:numPr>
                                <w:ilvl w:val="0"/>
                                <w:numId w:val="14"/>
                              </w:numPr>
                              <w:rPr>
                                <w:sz w:val="20"/>
                                <w:szCs w:val="20"/>
                              </w:rPr>
                            </w:pPr>
                            <w:r w:rsidRPr="002F1C3D">
                              <w:rPr>
                                <w:sz w:val="20"/>
                                <w:szCs w:val="20"/>
                              </w:rPr>
                              <w:t>CG resources per CG configuration are associated with a set of SSB(s) configured by explicit signalling.</w:t>
                            </w:r>
                          </w:p>
                          <w:p w14:paraId="237EAEFF" w14:textId="77777777" w:rsidR="002F1C3D" w:rsidRPr="002F1C3D" w:rsidRDefault="002F1C3D" w:rsidP="002F1C3D">
                            <w:pPr>
                              <w:numPr>
                                <w:ilvl w:val="1"/>
                                <w:numId w:val="14"/>
                              </w:numPr>
                              <w:rPr>
                                <w:sz w:val="20"/>
                                <w:szCs w:val="20"/>
                              </w:rPr>
                            </w:pPr>
                            <w:r w:rsidRPr="002F1C3D">
                              <w:rPr>
                                <w:sz w:val="20"/>
                                <w:szCs w:val="20"/>
                              </w:rPr>
                              <w:t>FFS how to define an SSB-to-PUSCH resource mapping within the CG configuration.</w:t>
                            </w:r>
                          </w:p>
                          <w:p w14:paraId="3CE0D56C" w14:textId="7CD0510E" w:rsidR="00D45271" w:rsidRPr="002F1C3D" w:rsidRDefault="002F1C3D" w:rsidP="002F1C3D">
                            <w:pPr>
                              <w:numPr>
                                <w:ilvl w:val="1"/>
                                <w:numId w:val="14"/>
                              </w:numPr>
                              <w:rPr>
                                <w:sz w:val="20"/>
                                <w:szCs w:val="20"/>
                              </w:rPr>
                            </w:pPr>
                            <w:r w:rsidRPr="002F1C3D">
                              <w:rPr>
                                <w:sz w:val="20"/>
                                <w:szCs w:val="20"/>
                              </w:rPr>
                              <w:t>FFS specific changes to the CG configuration to support the additional SSB-to-PUSCH mapping, if any.</w:t>
                            </w:r>
                          </w:p>
                        </w:txbxContent>
                      </wps:txbx>
                      <wps:bodyPr rot="0" vert="horz" wrap="square" lIns="91440" tIns="45720" rIns="91440" bIns="45720" anchor="t" anchorCtr="0">
                        <a:spAutoFit/>
                      </wps:bodyPr>
                    </wps:wsp>
                  </a:graphicData>
                </a:graphic>
              </wp:inline>
            </w:drawing>
          </mc:Choice>
          <mc:Fallback>
            <w:pict>
              <v:shapetype w14:anchorId="7A15FCEC" id="_x0000_t202" coordsize="21600,21600" o:spt="202" path="m,l,21600r21600,l21600,xe">
                <v:stroke joinstyle="miter"/>
                <v:path gradientshapeok="t" o:connecttype="rect"/>
              </v:shapetype>
              <v:shape id="Text Box 2" o:spid="_x0000_s1026" type="#_x0000_t202" style="width:481.95pt;height: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">
                <v:textbox style="mso-fit-shape-to-text:t">
                  <w:txbxContent>
                    <w:p w14:paraId="203EAB76" w14:textId="77777777" w:rsidR="002F1C3D" w:rsidRPr="002F1C3D" w:rsidRDefault="002F1C3D" w:rsidP="002F1C3D">
                      <w:pPr>
                        <w:rPr>
                          <w:sz w:val="20"/>
                          <w:szCs w:val="20"/>
                          <w:highlight w:val="green"/>
                        </w:rPr>
                      </w:pPr>
                      <w:r w:rsidRPr="002F1C3D">
                        <w:rPr>
                          <w:sz w:val="20"/>
                          <w:szCs w:val="20"/>
                          <w:highlight w:val="green"/>
                        </w:rPr>
                        <w:t>Agreement:</w:t>
                      </w:r>
                    </w:p>
                    <w:p w14:paraId="1F448A69" w14:textId="77777777" w:rsidR="002F1C3D" w:rsidRPr="002F1C3D" w:rsidRDefault="002F1C3D" w:rsidP="002F1C3D">
                      <w:pPr>
                        <w:numPr>
                          <w:ilvl w:val="0"/>
                          <w:numId w:val="14"/>
                        </w:numPr>
                        <w:rPr>
                          <w:sz w:val="20"/>
                          <w:szCs w:val="20"/>
                        </w:rPr>
                      </w:pPr>
                      <w:r w:rsidRPr="002F1C3D">
                        <w:rPr>
                          <w:sz w:val="20"/>
                          <w:szCs w:val="20"/>
                        </w:rPr>
                        <w:t>CG resources per CG configuration are associated with a set of SSB(s) configured by explicit signalling.</w:t>
                      </w:r>
                    </w:p>
                    <w:p w14:paraId="237EAEFF" w14:textId="77777777" w:rsidR="002F1C3D" w:rsidRPr="002F1C3D" w:rsidRDefault="002F1C3D" w:rsidP="002F1C3D">
                      <w:pPr>
                        <w:numPr>
                          <w:ilvl w:val="1"/>
                          <w:numId w:val="14"/>
                        </w:numPr>
                        <w:rPr>
                          <w:sz w:val="20"/>
                          <w:szCs w:val="20"/>
                        </w:rPr>
                      </w:pPr>
                      <w:r w:rsidRPr="002F1C3D">
                        <w:rPr>
                          <w:sz w:val="20"/>
                          <w:szCs w:val="20"/>
                        </w:rPr>
                        <w:t>FFS how to define an SSB-to-PUSCH resource mapping within the CG configuration.</w:t>
                      </w:r>
                    </w:p>
                    <w:p w14:paraId="3CE0D56C" w14:textId="7CD0510E" w:rsidR="00D45271" w:rsidRPr="002F1C3D" w:rsidRDefault="002F1C3D" w:rsidP="002F1C3D">
                      <w:pPr>
                        <w:numPr>
                          <w:ilvl w:val="1"/>
                          <w:numId w:val="14"/>
                        </w:numPr>
                        <w:rPr>
                          <w:sz w:val="20"/>
                          <w:szCs w:val="20"/>
                        </w:rPr>
                      </w:pPr>
                      <w:r w:rsidRPr="002F1C3D">
                        <w:rPr>
                          <w:sz w:val="20"/>
                          <w:szCs w:val="20"/>
                        </w:rPr>
                        <w:t>FFS specific changes to the CG configuration to support the additional SSB-to-PUSCH mapping, if any.</w:t>
                      </w:r>
                    </w:p>
                  </w:txbxContent>
                </v:textbox>
                <w10:anchorlock/>
              </v:shape>
            </w:pict>
          </mc:Fallback>
        </mc:AlternateContent>
      </w:r>
    </w:p>
    <w:p w14:paraId="3CEC54E1" w14:textId="5DAA5D04" w:rsidR="00D12A6C" w:rsidRDefault="00D12A6C" w:rsidP="0039135A">
      <w:pPr>
        <w:rPr>
          <w:rFonts w:eastAsia="MS Mincho"/>
          <w:sz w:val="20"/>
          <w:szCs w:val="20"/>
          <w:lang w:val="en-US" w:eastAsia="ja-JP"/>
        </w:rPr>
      </w:pPr>
    </w:p>
    <w:p w14:paraId="0326FF07" w14:textId="6C7B08B5" w:rsidR="00D12A6C" w:rsidRDefault="00D12A6C" w:rsidP="0039135A">
      <w:pPr>
        <w:rPr>
          <w:rFonts w:eastAsia="MS Mincho"/>
          <w:sz w:val="20"/>
          <w:szCs w:val="20"/>
          <w:lang w:val="en-US" w:eastAsia="ja-JP"/>
        </w:rPr>
      </w:pPr>
      <w:r>
        <w:rPr>
          <w:rFonts w:eastAsia="MS Mincho"/>
          <w:sz w:val="20"/>
          <w:szCs w:val="20"/>
          <w:lang w:val="en-US" w:eastAsia="ja-JP"/>
        </w:rPr>
        <w:t>The agreements made in RAN1#105e meeting are showing below</w:t>
      </w:r>
      <w:r w:rsidR="00AC5B81">
        <w:rPr>
          <w:rFonts w:eastAsia="MS Mincho"/>
          <w:sz w:val="20"/>
          <w:szCs w:val="20"/>
          <w:lang w:val="en-US" w:eastAsia="ja-JP"/>
        </w:rPr>
        <w:t>[3]</w:t>
      </w:r>
      <w:r>
        <w:rPr>
          <w:rFonts w:eastAsia="MS Mincho"/>
          <w:sz w:val="20"/>
          <w:szCs w:val="20"/>
          <w:lang w:val="en-US" w:eastAsia="ja-JP"/>
        </w:rPr>
        <w:t>.</w:t>
      </w:r>
    </w:p>
    <w:p w14:paraId="3FABFE8F" w14:textId="12C3CD61" w:rsidR="00D12A6C" w:rsidRDefault="00D12A6C" w:rsidP="0039135A">
      <w:pPr>
        <w:rPr>
          <w:rFonts w:eastAsia="MS Mincho"/>
          <w:sz w:val="20"/>
          <w:szCs w:val="20"/>
          <w:lang w:val="en-US" w:eastAsia="ja-JP"/>
        </w:rPr>
      </w:pPr>
      <w:r w:rsidRPr="00D45271">
        <w:rPr>
          <w:rFonts w:eastAsia="MS Mincho"/>
          <w:noProof/>
          <w:sz w:val="20"/>
          <w:szCs w:val="20"/>
          <w:lang w:val="en-US" w:eastAsia="ja-JP"/>
        </w:rPr>
        <mc:AlternateContent>
          <mc:Choice Requires="wps">
            <w:drawing>
              <wp:inline distT="0" distB="0" distL="0" distR="0" wp14:anchorId="7CAAB257" wp14:editId="03296BCA">
                <wp:extent cx="6120765" cy="684530"/>
                <wp:effectExtent l="0" t="0" r="13335"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4530"/>
                        </a:xfrm>
                        <a:prstGeom prst="rect">
                          <a:avLst/>
                        </a:prstGeom>
                        <a:solidFill>
                          <a:srgbClr val="FFFFFF"/>
                        </a:solidFill>
                        <a:ln w="9525">
                          <a:solidFill>
                            <a:srgbClr val="000000"/>
                          </a:solidFill>
                          <a:miter lim="800000"/>
                          <a:headEnd/>
                          <a:tailEnd/>
                        </a:ln>
                      </wps:spPr>
                      <wps:txbx>
                        <w:txbxContent>
                          <w:p w14:paraId="5414973A" w14:textId="77777777" w:rsidR="00D12A6C" w:rsidRPr="00D12A6C" w:rsidRDefault="00D12A6C" w:rsidP="00D12A6C">
                            <w:pPr>
                              <w:rPr>
                                <w:sz w:val="20"/>
                                <w:szCs w:val="20"/>
                                <w:highlight w:val="green"/>
                              </w:rPr>
                            </w:pPr>
                            <w:r w:rsidRPr="00D12A6C">
                              <w:rPr>
                                <w:sz w:val="20"/>
                                <w:szCs w:val="20"/>
                                <w:highlight w:val="green"/>
                              </w:rPr>
                              <w:t>Agreement:</w:t>
                            </w:r>
                          </w:p>
                          <w:p w14:paraId="34FA623D" w14:textId="77777777" w:rsidR="00D12A6C" w:rsidRPr="00D12A6C" w:rsidRDefault="00D12A6C" w:rsidP="00D12A6C">
                            <w:pPr>
                              <w:numPr>
                                <w:ilvl w:val="0"/>
                                <w:numId w:val="23"/>
                              </w:numPr>
                              <w:rPr>
                                <w:sz w:val="20"/>
                                <w:szCs w:val="20"/>
                              </w:rPr>
                            </w:pPr>
                            <w:r w:rsidRPr="00D12A6C">
                              <w:rPr>
                                <w:sz w:val="20"/>
                                <w:szCs w:val="20"/>
                              </w:rPr>
                              <w:t>The SSB-to-PUSCH resource mapping within the CG configuration is implicitly defined.</w:t>
                            </w:r>
                          </w:p>
                          <w:p w14:paraId="049793A8" w14:textId="77777777" w:rsidR="00D12A6C" w:rsidRPr="00D12A6C" w:rsidRDefault="00D12A6C" w:rsidP="00D12A6C">
                            <w:pPr>
                              <w:numPr>
                                <w:ilvl w:val="0"/>
                                <w:numId w:val="24"/>
                              </w:numPr>
                              <w:rPr>
                                <w:sz w:val="20"/>
                                <w:szCs w:val="20"/>
                              </w:rPr>
                            </w:pPr>
                            <w:r w:rsidRPr="00D12A6C">
                              <w:rPr>
                                <w:sz w:val="20"/>
                                <w:szCs w:val="20"/>
                              </w:rPr>
                              <w:t>The ordering of the SSB and CG PUSCH resources are to be captured in RAN1 spec.</w:t>
                            </w:r>
                          </w:p>
                          <w:p w14:paraId="4608512C" w14:textId="77777777" w:rsidR="00D12A6C" w:rsidRPr="00D12A6C" w:rsidRDefault="00D12A6C" w:rsidP="00D12A6C">
                            <w:pPr>
                              <w:numPr>
                                <w:ilvl w:val="1"/>
                                <w:numId w:val="25"/>
                              </w:numPr>
                              <w:rPr>
                                <w:sz w:val="20"/>
                                <w:szCs w:val="20"/>
                              </w:rPr>
                            </w:pPr>
                            <w:r w:rsidRPr="00D12A6C">
                              <w:rPr>
                                <w:sz w:val="20"/>
                                <w:szCs w:val="20"/>
                              </w:rPr>
                              <w:t>A PUSCH resource refers to a transmission occasion and a DMRS resource used for PUSCH transmission</w:t>
                            </w:r>
                          </w:p>
                          <w:p w14:paraId="481EE737" w14:textId="77777777" w:rsidR="00D12A6C" w:rsidRPr="00D12A6C" w:rsidRDefault="00D12A6C" w:rsidP="00D12A6C">
                            <w:pPr>
                              <w:numPr>
                                <w:ilvl w:val="1"/>
                                <w:numId w:val="25"/>
                              </w:numPr>
                              <w:rPr>
                                <w:sz w:val="20"/>
                                <w:szCs w:val="20"/>
                              </w:rPr>
                            </w:pPr>
                            <w:r w:rsidRPr="00D12A6C">
                              <w:rPr>
                                <w:sz w:val="20"/>
                                <w:szCs w:val="20"/>
                              </w:rPr>
                              <w:t>The ordering of the SSB can reuse from the SSB-to-RO mapping</w:t>
                            </w:r>
                          </w:p>
                          <w:p w14:paraId="649907D6" w14:textId="77777777" w:rsidR="00D12A6C" w:rsidRPr="00D12A6C" w:rsidRDefault="00D12A6C" w:rsidP="00D12A6C">
                            <w:pPr>
                              <w:numPr>
                                <w:ilvl w:val="1"/>
                                <w:numId w:val="25"/>
                              </w:numPr>
                              <w:rPr>
                                <w:sz w:val="20"/>
                                <w:szCs w:val="20"/>
                              </w:rPr>
                            </w:pPr>
                            <w:r w:rsidRPr="00D12A6C">
                              <w:rPr>
                                <w:sz w:val="20"/>
                                <w:szCs w:val="20"/>
                              </w:rPr>
                              <w:t>The ordering of CG PUSCH resources can reuse from that of MsgA PUSCH as much as possible</w:t>
                            </w:r>
                          </w:p>
                          <w:p w14:paraId="5DCE9B4B" w14:textId="77777777" w:rsidR="00D12A6C" w:rsidRPr="00D12A6C" w:rsidRDefault="00D12A6C" w:rsidP="00D12A6C">
                            <w:pPr>
                              <w:numPr>
                                <w:ilvl w:val="0"/>
                                <w:numId w:val="24"/>
                              </w:numPr>
                              <w:rPr>
                                <w:sz w:val="20"/>
                                <w:szCs w:val="20"/>
                              </w:rPr>
                            </w:pPr>
                            <w:r w:rsidRPr="00D12A6C">
                              <w:rPr>
                                <w:sz w:val="20"/>
                                <w:szCs w:val="20"/>
                              </w:rPr>
                              <w:t>FFS determination of mapping ratio and association period, e.g., explicitly signaled or implicitly derived</w:t>
                            </w:r>
                          </w:p>
                          <w:p w14:paraId="6452454D" w14:textId="753BB4F7" w:rsidR="00D12A6C" w:rsidRPr="00D12A6C" w:rsidRDefault="00D12A6C" w:rsidP="00D12A6C">
                            <w:pPr>
                              <w:numPr>
                                <w:ilvl w:val="0"/>
                                <w:numId w:val="24"/>
                              </w:numPr>
                              <w:rPr>
                                <w:sz w:val="20"/>
                                <w:szCs w:val="20"/>
                              </w:rPr>
                            </w:pPr>
                            <w:r w:rsidRPr="00D12A6C">
                              <w:rPr>
                                <w:sz w:val="20"/>
                                <w:szCs w:val="20"/>
                              </w:rPr>
                              <w:t>FFS any limitation on the combination of the parameters for CG resources</w:t>
                            </w:r>
                          </w:p>
                        </w:txbxContent>
                      </wps:txbx>
                      <wps:bodyPr rot="0" vert="horz" wrap="square" lIns="91440" tIns="45720" rIns="91440" bIns="45720" anchor="t" anchorCtr="0">
                        <a:spAutoFit/>
                      </wps:bodyPr>
                    </wps:wsp>
                  </a:graphicData>
                </a:graphic>
              </wp:inline>
            </w:drawing>
          </mc:Choice>
          <mc:Fallback>
            <w:pict>
              <v:shape w14:anchorId="7CAAB257" id="_x0000_s1027" type="#_x0000_t202" style="width:481.95pt;height:5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">
                <v:textbox style="mso-fit-shape-to-text:t">
                  <w:txbxContent>
                    <w:p w14:paraId="5414973A" w14:textId="77777777" w:rsidR="00D12A6C" w:rsidRPr="00D12A6C" w:rsidRDefault="00D12A6C" w:rsidP="00D12A6C">
                      <w:pPr>
                        <w:rPr>
                          <w:sz w:val="20"/>
                          <w:szCs w:val="20"/>
                          <w:highlight w:val="green"/>
                        </w:rPr>
                      </w:pPr>
                      <w:r w:rsidRPr="00D12A6C">
                        <w:rPr>
                          <w:sz w:val="20"/>
                          <w:szCs w:val="20"/>
                          <w:highlight w:val="green"/>
                        </w:rPr>
                        <w:t>Agreement:</w:t>
                      </w:r>
                    </w:p>
                    <w:p w14:paraId="34FA623D" w14:textId="77777777" w:rsidR="00D12A6C" w:rsidRPr="00D12A6C" w:rsidRDefault="00D12A6C" w:rsidP="00D12A6C">
                      <w:pPr>
                        <w:numPr>
                          <w:ilvl w:val="0"/>
                          <w:numId w:val="23"/>
                        </w:numPr>
                        <w:rPr>
                          <w:sz w:val="20"/>
                          <w:szCs w:val="20"/>
                        </w:rPr>
                      </w:pPr>
                      <w:r w:rsidRPr="00D12A6C">
                        <w:rPr>
                          <w:sz w:val="20"/>
                          <w:szCs w:val="20"/>
                        </w:rPr>
                        <w:t>The SSB-to-PUSCH resource mapping within the CG configuration is implicitly defined.</w:t>
                      </w:r>
                    </w:p>
                    <w:p w14:paraId="049793A8" w14:textId="77777777" w:rsidR="00D12A6C" w:rsidRPr="00D12A6C" w:rsidRDefault="00D12A6C" w:rsidP="00D12A6C">
                      <w:pPr>
                        <w:numPr>
                          <w:ilvl w:val="0"/>
                          <w:numId w:val="24"/>
                        </w:numPr>
                        <w:rPr>
                          <w:sz w:val="20"/>
                          <w:szCs w:val="20"/>
                        </w:rPr>
                      </w:pPr>
                      <w:r w:rsidRPr="00D12A6C">
                        <w:rPr>
                          <w:sz w:val="20"/>
                          <w:szCs w:val="20"/>
                        </w:rPr>
                        <w:t>The ordering of the SSB and CG PUSCH resources are to be captured in RAN1 spec.</w:t>
                      </w:r>
                    </w:p>
                    <w:p w14:paraId="4608512C" w14:textId="77777777" w:rsidR="00D12A6C" w:rsidRPr="00D12A6C" w:rsidRDefault="00D12A6C" w:rsidP="00D12A6C">
                      <w:pPr>
                        <w:numPr>
                          <w:ilvl w:val="1"/>
                          <w:numId w:val="25"/>
                        </w:numPr>
                        <w:rPr>
                          <w:sz w:val="20"/>
                          <w:szCs w:val="20"/>
                        </w:rPr>
                      </w:pPr>
                      <w:r w:rsidRPr="00D12A6C">
                        <w:rPr>
                          <w:sz w:val="20"/>
                          <w:szCs w:val="20"/>
                        </w:rPr>
                        <w:t>A PUSCH resource refers to a transmission occasion and a DMRS resource used for PUSCH transmission</w:t>
                      </w:r>
                    </w:p>
                    <w:p w14:paraId="481EE737" w14:textId="77777777" w:rsidR="00D12A6C" w:rsidRPr="00D12A6C" w:rsidRDefault="00D12A6C" w:rsidP="00D12A6C">
                      <w:pPr>
                        <w:numPr>
                          <w:ilvl w:val="1"/>
                          <w:numId w:val="25"/>
                        </w:numPr>
                        <w:rPr>
                          <w:sz w:val="20"/>
                          <w:szCs w:val="20"/>
                        </w:rPr>
                      </w:pPr>
                      <w:r w:rsidRPr="00D12A6C">
                        <w:rPr>
                          <w:sz w:val="20"/>
                          <w:szCs w:val="20"/>
                        </w:rPr>
                        <w:t>The ordering of the SSB can reuse from the SSB-to-RO mapping</w:t>
                      </w:r>
                    </w:p>
                    <w:p w14:paraId="649907D6" w14:textId="77777777" w:rsidR="00D12A6C" w:rsidRPr="00D12A6C" w:rsidRDefault="00D12A6C" w:rsidP="00D12A6C">
                      <w:pPr>
                        <w:numPr>
                          <w:ilvl w:val="1"/>
                          <w:numId w:val="25"/>
                        </w:numPr>
                        <w:rPr>
                          <w:sz w:val="20"/>
                          <w:szCs w:val="20"/>
                        </w:rPr>
                      </w:pPr>
                      <w:r w:rsidRPr="00D12A6C">
                        <w:rPr>
                          <w:sz w:val="20"/>
                          <w:szCs w:val="20"/>
                        </w:rPr>
                        <w:t>The ordering of CG PUSCH resources can reuse from that of MsgA PUSCH as much as possible</w:t>
                      </w:r>
                    </w:p>
                    <w:p w14:paraId="5DCE9B4B" w14:textId="77777777" w:rsidR="00D12A6C" w:rsidRPr="00D12A6C" w:rsidRDefault="00D12A6C" w:rsidP="00D12A6C">
                      <w:pPr>
                        <w:numPr>
                          <w:ilvl w:val="0"/>
                          <w:numId w:val="24"/>
                        </w:numPr>
                        <w:rPr>
                          <w:sz w:val="20"/>
                          <w:szCs w:val="20"/>
                        </w:rPr>
                      </w:pPr>
                      <w:r w:rsidRPr="00D12A6C">
                        <w:rPr>
                          <w:sz w:val="20"/>
                          <w:szCs w:val="20"/>
                        </w:rPr>
                        <w:t>FFS determination of mapping ratio and association period, e.g., explicitly signaled or implicitly derived</w:t>
                      </w:r>
                    </w:p>
                    <w:p w14:paraId="6452454D" w14:textId="753BB4F7" w:rsidR="00D12A6C" w:rsidRPr="00D12A6C" w:rsidRDefault="00D12A6C" w:rsidP="00D12A6C">
                      <w:pPr>
                        <w:numPr>
                          <w:ilvl w:val="0"/>
                          <w:numId w:val="24"/>
                        </w:numPr>
                        <w:rPr>
                          <w:sz w:val="20"/>
                          <w:szCs w:val="20"/>
                        </w:rPr>
                      </w:pPr>
                      <w:r w:rsidRPr="00D12A6C">
                        <w:rPr>
                          <w:sz w:val="20"/>
                          <w:szCs w:val="20"/>
                        </w:rPr>
                        <w:t>FFS any limitation on the combination of the parameters for CG resources</w:t>
                      </w:r>
                    </w:p>
                  </w:txbxContent>
                </v:textbox>
                <w10:anchorlock/>
              </v:shape>
            </w:pict>
          </mc:Fallback>
        </mc:AlternateContent>
      </w:r>
    </w:p>
    <w:p w14:paraId="560B9657" w14:textId="78A749C8" w:rsidR="0039135A" w:rsidRDefault="0025389B" w:rsidP="006938F8">
      <w:pPr>
        <w:spacing w:before="120"/>
        <w:rPr>
          <w:rFonts w:eastAsia="MS Mincho"/>
          <w:sz w:val="20"/>
          <w:szCs w:val="20"/>
          <w:lang w:val="en-US" w:eastAsia="ja-JP"/>
        </w:rPr>
      </w:pPr>
      <w:r w:rsidRPr="00FB6A81">
        <w:rPr>
          <w:rFonts w:eastAsia="MS Mincho"/>
          <w:sz w:val="20"/>
          <w:szCs w:val="20"/>
          <w:lang w:eastAsia="ja-JP"/>
        </w:rPr>
        <w:t xml:space="preserve">In this contribution, we </w:t>
      </w:r>
      <w:r>
        <w:rPr>
          <w:rFonts w:eastAsia="MS Mincho"/>
          <w:sz w:val="20"/>
          <w:szCs w:val="20"/>
          <w:lang w:eastAsia="ja-JP"/>
        </w:rPr>
        <w:t>discuss</w:t>
      </w:r>
      <w:r w:rsidR="006938F8">
        <w:rPr>
          <w:rFonts w:eastAsia="MS Mincho"/>
          <w:sz w:val="20"/>
          <w:szCs w:val="20"/>
          <w:lang w:val="en-US" w:eastAsia="ja-JP"/>
        </w:rPr>
        <w:t xml:space="preserve"> the SDT remaining issues from </w:t>
      </w:r>
      <w:r w:rsidR="0039135A">
        <w:rPr>
          <w:rFonts w:eastAsia="MS Mincho"/>
          <w:sz w:val="20"/>
          <w:szCs w:val="20"/>
          <w:lang w:val="en-US" w:eastAsia="ja-JP"/>
        </w:rPr>
        <w:t>the physical layer</w:t>
      </w:r>
      <w:r w:rsidR="006938F8">
        <w:rPr>
          <w:rFonts w:eastAsia="MS Mincho"/>
          <w:sz w:val="20"/>
          <w:szCs w:val="20"/>
          <w:lang w:val="en-US" w:eastAsia="ja-JP"/>
        </w:rPr>
        <w:t xml:space="preserve"> </w:t>
      </w:r>
      <w:r w:rsidR="00D51E0C">
        <w:rPr>
          <w:rFonts w:eastAsia="MS Mincho"/>
          <w:sz w:val="20"/>
          <w:szCs w:val="20"/>
          <w:lang w:val="en-US" w:eastAsia="ja-JP"/>
        </w:rPr>
        <w:t>perspective</w:t>
      </w:r>
      <w:r w:rsidR="0039135A">
        <w:rPr>
          <w:rFonts w:eastAsia="MS Mincho"/>
          <w:sz w:val="20"/>
          <w:szCs w:val="20"/>
          <w:lang w:val="en-US" w:eastAsia="ja-JP"/>
        </w:rPr>
        <w:t>.</w:t>
      </w:r>
    </w:p>
    <w:p w14:paraId="57F74D79" w14:textId="100F5340" w:rsidR="002A3F84" w:rsidRPr="00BF3ED6" w:rsidRDefault="0033104D" w:rsidP="00BF3ED6">
      <w:pPr>
        <w:pStyle w:val="Heading1"/>
        <w:rPr>
          <w:bCs/>
        </w:rPr>
      </w:pPr>
      <w:r>
        <w:rPr>
          <w:rFonts w:cs="Arial"/>
          <w:bCs/>
          <w:lang w:val="en-US" w:eastAsia="zh-CN"/>
        </w:rPr>
        <w:t xml:space="preserve">Discussion </w:t>
      </w:r>
    </w:p>
    <w:p w14:paraId="1A74425C" w14:textId="48A0F9AD" w:rsidR="00733A31" w:rsidRDefault="00D51E0C" w:rsidP="00733A31">
      <w:pPr>
        <w:spacing w:before="120" w:after="120"/>
        <w:rPr>
          <w:color w:val="000000"/>
          <w:sz w:val="20"/>
          <w:szCs w:val="20"/>
          <w:lang w:val="en-US"/>
        </w:rPr>
      </w:pPr>
      <w:r>
        <w:rPr>
          <w:color w:val="000000"/>
          <w:sz w:val="20"/>
          <w:szCs w:val="20"/>
          <w:lang w:val="en-US"/>
        </w:rPr>
        <w:t xml:space="preserve">For CG-SDT, </w:t>
      </w:r>
      <w:r w:rsidR="00783B30">
        <w:rPr>
          <w:rFonts w:hint="eastAsia"/>
          <w:color w:val="000000"/>
          <w:sz w:val="20"/>
          <w:szCs w:val="20"/>
          <w:lang w:val="en-US"/>
        </w:rPr>
        <w:t>it</w:t>
      </w:r>
      <w:r w:rsidR="00783B30">
        <w:rPr>
          <w:color w:val="000000"/>
          <w:sz w:val="20"/>
          <w:szCs w:val="20"/>
          <w:lang w:val="en-US"/>
        </w:rPr>
        <w:t xml:space="preserve"> was agreed in RAN1</w:t>
      </w:r>
      <w:r w:rsidR="00733A31">
        <w:rPr>
          <w:color w:val="000000"/>
          <w:sz w:val="20"/>
          <w:szCs w:val="20"/>
          <w:lang w:val="en-US"/>
        </w:rPr>
        <w:t>04bis-e</w:t>
      </w:r>
      <w:r w:rsidR="00783B30">
        <w:rPr>
          <w:color w:val="000000"/>
          <w:sz w:val="20"/>
          <w:szCs w:val="20"/>
          <w:lang w:val="en-US"/>
        </w:rPr>
        <w:t xml:space="preserve"> meeting that </w:t>
      </w:r>
      <w:r w:rsidR="00783B30" w:rsidRPr="00783B30">
        <w:rPr>
          <w:color w:val="000000"/>
          <w:sz w:val="20"/>
          <w:szCs w:val="20"/>
        </w:rPr>
        <w:t>CG resources per CG configuration are associated with a set of SSB(s) by explicit signalling</w:t>
      </w:r>
      <w:r w:rsidR="00733A31">
        <w:rPr>
          <w:color w:val="000000"/>
          <w:sz w:val="20"/>
          <w:szCs w:val="20"/>
          <w:lang w:val="en-US"/>
        </w:rPr>
        <w:t xml:space="preserve">, in addition, it was agreed in RAN1#105-e meeting that </w:t>
      </w:r>
      <w:r w:rsidR="00733A31" w:rsidRPr="00733A31">
        <w:rPr>
          <w:color w:val="000000"/>
          <w:sz w:val="20"/>
          <w:szCs w:val="20"/>
        </w:rPr>
        <w:t>SSB-to-PUSCH resource mapping within the CG configuration is implicitly defined.</w:t>
      </w:r>
      <w:r w:rsidR="00733A31">
        <w:rPr>
          <w:color w:val="000000"/>
          <w:sz w:val="20"/>
          <w:szCs w:val="20"/>
          <w:lang w:val="en-US"/>
        </w:rPr>
        <w:t xml:space="preserve"> The PUSCH resource is clarified further it refers to a transmission occasion and a DMRS resource used for PUSCH transmission. With this clarification, there is no </w:t>
      </w:r>
      <w:proofErr w:type="spellStart"/>
      <w:r w:rsidR="00733A31">
        <w:rPr>
          <w:color w:val="000000"/>
          <w:sz w:val="20"/>
          <w:szCs w:val="20"/>
          <w:lang w:val="en-US"/>
        </w:rPr>
        <w:t>FDMed</w:t>
      </w:r>
      <w:proofErr w:type="spellEnd"/>
      <w:r w:rsidR="00733A31">
        <w:rPr>
          <w:color w:val="000000"/>
          <w:sz w:val="20"/>
          <w:szCs w:val="20"/>
          <w:lang w:val="en-US"/>
        </w:rPr>
        <w:t xml:space="preserve"> and </w:t>
      </w:r>
      <w:proofErr w:type="spellStart"/>
      <w:r w:rsidR="00733A31">
        <w:rPr>
          <w:color w:val="000000"/>
          <w:sz w:val="20"/>
          <w:szCs w:val="20"/>
          <w:lang w:val="en-US"/>
        </w:rPr>
        <w:t>TDMed</w:t>
      </w:r>
      <w:proofErr w:type="spellEnd"/>
      <w:r w:rsidR="00733A31">
        <w:rPr>
          <w:color w:val="000000"/>
          <w:sz w:val="20"/>
          <w:szCs w:val="20"/>
          <w:lang w:val="en-US"/>
        </w:rPr>
        <w:t xml:space="preserve"> PUSCH resources within the CG configuration. Similar as</w:t>
      </w:r>
      <w:r w:rsidR="00D2601E">
        <w:rPr>
          <w:color w:val="000000"/>
          <w:sz w:val="20"/>
          <w:szCs w:val="20"/>
          <w:lang w:val="en-US"/>
        </w:rPr>
        <w:t xml:space="preserve"> </w:t>
      </w:r>
      <w:proofErr w:type="spellStart"/>
      <w:r w:rsidR="00D2601E">
        <w:rPr>
          <w:color w:val="000000"/>
          <w:sz w:val="20"/>
          <w:szCs w:val="20"/>
          <w:lang w:val="en-US"/>
        </w:rPr>
        <w:t>MsgA</w:t>
      </w:r>
      <w:proofErr w:type="spellEnd"/>
      <w:r w:rsidR="00D2601E">
        <w:rPr>
          <w:color w:val="000000"/>
          <w:sz w:val="20"/>
          <w:szCs w:val="20"/>
          <w:lang w:val="en-US"/>
        </w:rPr>
        <w:t xml:space="preserve"> </w:t>
      </w:r>
      <w:r w:rsidR="00733A31">
        <w:rPr>
          <w:color w:val="000000"/>
          <w:sz w:val="20"/>
          <w:szCs w:val="20"/>
          <w:lang w:val="en-US"/>
        </w:rPr>
        <w:t xml:space="preserve">PUSCH </w:t>
      </w:r>
      <w:r w:rsidR="00D2601E">
        <w:rPr>
          <w:color w:val="000000"/>
          <w:sz w:val="20"/>
          <w:szCs w:val="20"/>
          <w:lang w:val="en-US"/>
        </w:rPr>
        <w:t>ord</w:t>
      </w:r>
      <w:r w:rsidR="00DA0583">
        <w:rPr>
          <w:color w:val="000000"/>
          <w:sz w:val="20"/>
          <w:szCs w:val="20"/>
          <w:lang w:val="en-US"/>
        </w:rPr>
        <w:t>er</w:t>
      </w:r>
      <w:r w:rsidR="00D2601E">
        <w:rPr>
          <w:color w:val="000000"/>
          <w:sz w:val="20"/>
          <w:szCs w:val="20"/>
          <w:lang w:val="en-US"/>
        </w:rPr>
        <w:t>ing</w:t>
      </w:r>
      <w:r w:rsidR="00733A31">
        <w:rPr>
          <w:color w:val="000000"/>
          <w:sz w:val="20"/>
          <w:szCs w:val="20"/>
          <w:lang w:val="en-US"/>
        </w:rPr>
        <w:t xml:space="preserve"> in two-step RACH, the</w:t>
      </w:r>
      <w:r w:rsidR="00733A31" w:rsidRPr="00733A31">
        <w:rPr>
          <w:color w:val="000000"/>
          <w:sz w:val="20"/>
          <w:szCs w:val="20"/>
        </w:rPr>
        <w:t xml:space="preserve"> </w:t>
      </w:r>
      <w:r w:rsidR="00733A31">
        <w:rPr>
          <w:color w:val="000000"/>
          <w:sz w:val="20"/>
          <w:szCs w:val="20"/>
          <w:lang w:val="en-US"/>
        </w:rPr>
        <w:t>CG-</w:t>
      </w:r>
      <w:r w:rsidR="00733A31" w:rsidRPr="00733A31">
        <w:rPr>
          <w:color w:val="000000"/>
          <w:sz w:val="20"/>
          <w:szCs w:val="20"/>
        </w:rPr>
        <w:t>PUSCH resource</w:t>
      </w:r>
      <w:r w:rsidR="00733A31">
        <w:rPr>
          <w:color w:val="000000"/>
          <w:sz w:val="20"/>
          <w:szCs w:val="20"/>
          <w:lang w:val="en-US"/>
        </w:rPr>
        <w:t xml:space="preserve"> indexing can be determined in the following order   </w:t>
      </w:r>
    </w:p>
    <w:p w14:paraId="43944DC4" w14:textId="007A135B" w:rsidR="00733A31" w:rsidRPr="00733A31" w:rsidRDefault="00733A31" w:rsidP="00733A31">
      <w:pPr>
        <w:pStyle w:val="ListParagraph"/>
        <w:numPr>
          <w:ilvl w:val="0"/>
          <w:numId w:val="27"/>
        </w:numPr>
        <w:spacing w:before="120" w:after="120"/>
        <w:rPr>
          <w:color w:val="000000"/>
          <w:sz w:val="20"/>
          <w:szCs w:val="20"/>
          <w:lang w:val="en-US"/>
        </w:rPr>
      </w:pPr>
      <w:r w:rsidRPr="00733A31">
        <w:rPr>
          <w:color w:val="000000"/>
          <w:sz w:val="20"/>
          <w:szCs w:val="20"/>
          <w:lang w:val="en-US"/>
        </w:rPr>
        <w:t>First,  in increasing the order of  DMRS port index</w:t>
      </w:r>
      <w:r>
        <w:rPr>
          <w:color w:val="000000"/>
          <w:sz w:val="20"/>
          <w:szCs w:val="20"/>
          <w:lang w:val="en-US"/>
        </w:rPr>
        <w:t xml:space="preserve">, i.e., </w:t>
      </w:r>
      <w:proofErr w:type="spellStart"/>
      <w:r w:rsidRPr="000D6427">
        <w:rPr>
          <w:i/>
          <w:iCs/>
          <w:color w:val="000000"/>
          <w:sz w:val="20"/>
          <w:szCs w:val="20"/>
          <w:lang w:val="en-US"/>
        </w:rPr>
        <w:t>antennaPort</w:t>
      </w:r>
      <w:proofErr w:type="spellEnd"/>
      <w:r>
        <w:rPr>
          <w:i/>
          <w:iCs/>
          <w:color w:val="000000"/>
          <w:sz w:val="20"/>
          <w:szCs w:val="20"/>
          <w:lang w:val="en-US"/>
        </w:rPr>
        <w:t xml:space="preserve"> </w:t>
      </w:r>
      <w:r w:rsidRPr="00733A31">
        <w:rPr>
          <w:color w:val="000000"/>
          <w:sz w:val="20"/>
          <w:szCs w:val="20"/>
          <w:lang w:val="en-US"/>
        </w:rPr>
        <w:t>in</w:t>
      </w:r>
      <w:r>
        <w:rPr>
          <w:i/>
          <w:iCs/>
          <w:color w:val="000000"/>
          <w:sz w:val="20"/>
          <w:szCs w:val="20"/>
          <w:lang w:val="en-US"/>
        </w:rPr>
        <w:t xml:space="preserve"> </w:t>
      </w:r>
      <w:r w:rsidRPr="000D6427">
        <w:rPr>
          <w:i/>
          <w:iCs/>
          <w:color w:val="000000"/>
          <w:sz w:val="20"/>
          <w:szCs w:val="20"/>
        </w:rPr>
        <w:t>ConfiguredGrantConfig</w:t>
      </w:r>
    </w:p>
    <w:p w14:paraId="3F8C97E5" w14:textId="68A4F616" w:rsidR="00733A31" w:rsidRPr="00733A31" w:rsidRDefault="00733A31" w:rsidP="00733A31">
      <w:pPr>
        <w:pStyle w:val="ListParagraph"/>
        <w:numPr>
          <w:ilvl w:val="0"/>
          <w:numId w:val="27"/>
        </w:numPr>
        <w:spacing w:before="120" w:after="120"/>
        <w:rPr>
          <w:color w:val="000000"/>
          <w:sz w:val="20"/>
          <w:szCs w:val="20"/>
          <w:lang w:val="en-US"/>
        </w:rPr>
      </w:pPr>
      <w:r w:rsidRPr="00733A31">
        <w:rPr>
          <w:color w:val="000000"/>
          <w:sz w:val="20"/>
          <w:szCs w:val="20"/>
          <w:lang w:val="en-US"/>
        </w:rPr>
        <w:t>Second,  in the ascending order of DMRS sequence index</w:t>
      </w:r>
      <w:r>
        <w:rPr>
          <w:color w:val="000000"/>
          <w:sz w:val="20"/>
          <w:szCs w:val="20"/>
          <w:lang w:val="en-US"/>
        </w:rPr>
        <w:t xml:space="preserve">, i.e., </w:t>
      </w:r>
      <w:proofErr w:type="spellStart"/>
      <w:r w:rsidRPr="000D6427">
        <w:rPr>
          <w:i/>
          <w:iCs/>
          <w:color w:val="000000"/>
          <w:sz w:val="20"/>
          <w:szCs w:val="20"/>
          <w:lang w:val="en-US"/>
        </w:rPr>
        <w:t>dmrs-SeqInitialization</w:t>
      </w:r>
      <w:proofErr w:type="spellEnd"/>
      <w:r>
        <w:rPr>
          <w:color w:val="000000"/>
          <w:sz w:val="20"/>
          <w:szCs w:val="20"/>
          <w:lang w:val="en-US"/>
        </w:rPr>
        <w:t xml:space="preserve"> in</w:t>
      </w:r>
      <w:r w:rsidR="00F326C7">
        <w:rPr>
          <w:color w:val="000000"/>
          <w:sz w:val="20"/>
          <w:szCs w:val="20"/>
          <w:lang w:val="en-US"/>
        </w:rPr>
        <w:t xml:space="preserve"> </w:t>
      </w:r>
      <w:r w:rsidRPr="000D6427">
        <w:rPr>
          <w:i/>
          <w:iCs/>
          <w:color w:val="000000"/>
          <w:sz w:val="20"/>
          <w:szCs w:val="20"/>
        </w:rPr>
        <w:t>ConfiguredGrantConfig</w:t>
      </w:r>
    </w:p>
    <w:p w14:paraId="77E1BFD5" w14:textId="0309F543" w:rsidR="00733A31" w:rsidRDefault="00733A31" w:rsidP="00733A31">
      <w:pPr>
        <w:spacing w:before="120" w:after="120"/>
        <w:rPr>
          <w:color w:val="000000"/>
          <w:sz w:val="20"/>
          <w:szCs w:val="20"/>
          <w:lang w:val="en-US"/>
        </w:rPr>
      </w:pPr>
      <w:r>
        <w:rPr>
          <w:color w:val="000000"/>
          <w:sz w:val="20"/>
          <w:szCs w:val="20"/>
          <w:lang w:val="en-US"/>
        </w:rPr>
        <w:t xml:space="preserve">Another parameter </w:t>
      </w:r>
      <w:r w:rsidR="00F326C7">
        <w:rPr>
          <w:color w:val="000000"/>
          <w:sz w:val="20"/>
          <w:szCs w:val="20"/>
          <w:lang w:val="en-US"/>
        </w:rPr>
        <w:t>related to</w:t>
      </w:r>
      <w:r>
        <w:rPr>
          <w:color w:val="000000"/>
          <w:sz w:val="20"/>
          <w:szCs w:val="20"/>
          <w:lang w:val="en-US"/>
        </w:rPr>
        <w:t xml:space="preserve"> the SSB to CG-PUSCH resource</w:t>
      </w:r>
      <w:r w:rsidR="00F326C7">
        <w:rPr>
          <w:color w:val="000000"/>
          <w:sz w:val="20"/>
          <w:szCs w:val="20"/>
          <w:lang w:val="en-US"/>
        </w:rPr>
        <w:t xml:space="preserve"> mapping is the </w:t>
      </w:r>
      <w:r>
        <w:rPr>
          <w:color w:val="000000"/>
          <w:sz w:val="20"/>
          <w:szCs w:val="20"/>
          <w:lang w:val="en-US"/>
        </w:rPr>
        <w:t xml:space="preserve">association period, this parameter can be configured explicitly by the network, the association period </w:t>
      </w:r>
      <w:r w:rsidR="00F326C7">
        <w:rPr>
          <w:color w:val="000000"/>
          <w:sz w:val="20"/>
          <w:szCs w:val="20"/>
          <w:lang w:val="en-US"/>
        </w:rPr>
        <w:t>can be multiple of</w:t>
      </w:r>
      <w:r>
        <w:rPr>
          <w:color w:val="000000"/>
          <w:sz w:val="20"/>
          <w:szCs w:val="20"/>
          <w:lang w:val="en-US"/>
        </w:rPr>
        <w:t xml:space="preserve"> configured grant periodicity. One example of SSB to PUSCH resource association is showing in Figure 1.</w:t>
      </w:r>
    </w:p>
    <w:p w14:paraId="289F40C7" w14:textId="74DE6932" w:rsidR="00733A31" w:rsidRPr="00733A31" w:rsidRDefault="00733A31" w:rsidP="00733A31">
      <w:pPr>
        <w:spacing w:before="120" w:after="120"/>
        <w:jc w:val="center"/>
        <w:rPr>
          <w:color w:val="000000"/>
          <w:sz w:val="20"/>
          <w:szCs w:val="20"/>
        </w:rPr>
      </w:pPr>
      <w:r w:rsidRPr="00D12A6C">
        <w:rPr>
          <w:noProof/>
          <w:sz w:val="20"/>
          <w:szCs w:val="20"/>
          <w:lang w:val="en-US"/>
        </w:rPr>
        <w:lastRenderedPageBreak/>
        <w:drawing>
          <wp:inline distT="0" distB="0" distL="0" distR="0" wp14:anchorId="1376AA30" wp14:editId="4A6BB333">
            <wp:extent cx="4394382" cy="1378629"/>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12761" cy="1384395"/>
                    </a:xfrm>
                    <a:prstGeom prst="rect">
                      <a:avLst/>
                    </a:prstGeom>
                  </pic:spPr>
                </pic:pic>
              </a:graphicData>
            </a:graphic>
          </wp:inline>
        </w:drawing>
      </w:r>
    </w:p>
    <w:p w14:paraId="727E8DFF" w14:textId="69DD7B59" w:rsidR="00733A31" w:rsidRDefault="00733A31" w:rsidP="002D3624">
      <w:pPr>
        <w:spacing w:before="120" w:after="120"/>
        <w:jc w:val="center"/>
        <w:rPr>
          <w:color w:val="000000"/>
          <w:sz w:val="20"/>
          <w:szCs w:val="20"/>
          <w:lang w:val="en-US"/>
        </w:rPr>
      </w:pPr>
      <w:r>
        <w:rPr>
          <w:color w:val="000000"/>
          <w:sz w:val="20"/>
          <w:szCs w:val="20"/>
          <w:lang w:val="en-US"/>
        </w:rPr>
        <w:t>Figure 1: SSB to PUSCH resource mapping</w:t>
      </w:r>
    </w:p>
    <w:p w14:paraId="0B0D63E5" w14:textId="6482FDC8" w:rsidR="00733A31" w:rsidRPr="00733A31" w:rsidRDefault="00F326C7" w:rsidP="00733A31">
      <w:pPr>
        <w:spacing w:before="120" w:after="120"/>
        <w:rPr>
          <w:color w:val="000000"/>
          <w:sz w:val="20"/>
          <w:szCs w:val="20"/>
          <w:lang w:val="en-US"/>
        </w:rPr>
      </w:pPr>
      <w:r>
        <w:rPr>
          <w:color w:val="000000"/>
          <w:sz w:val="20"/>
          <w:szCs w:val="20"/>
          <w:lang w:val="en-US"/>
        </w:rPr>
        <w:t>For</w:t>
      </w:r>
      <w:r w:rsidR="00733A31">
        <w:rPr>
          <w:color w:val="000000"/>
          <w:sz w:val="20"/>
          <w:szCs w:val="20"/>
          <w:lang w:val="en-US"/>
        </w:rPr>
        <w:t xml:space="preserve"> the  indication of mapping ratio between SSB and CG-PUSCH resource, e.g</w:t>
      </w:r>
      <w:r w:rsidR="00733A31">
        <w:rPr>
          <w:sz w:val="20"/>
          <w:szCs w:val="20"/>
          <w:lang w:val="en-US"/>
        </w:rPr>
        <w:t>., one-to-one, multiple-to-one, one-to-multiple mapping</w:t>
      </w:r>
      <w:r>
        <w:rPr>
          <w:sz w:val="20"/>
          <w:szCs w:val="20"/>
          <w:lang w:val="en-US"/>
        </w:rPr>
        <w:t>, the mapping ratio could be implicitly derived based on the total available PUSCH resources in the association period and the number of SSB</w:t>
      </w:r>
      <w:r w:rsidR="00687942">
        <w:rPr>
          <w:sz w:val="20"/>
          <w:szCs w:val="20"/>
          <w:lang w:val="en-US"/>
        </w:rPr>
        <w:t xml:space="preserve">, which is similar as the preamble to </w:t>
      </w:r>
      <w:proofErr w:type="spellStart"/>
      <w:r w:rsidR="00687942">
        <w:rPr>
          <w:sz w:val="20"/>
          <w:szCs w:val="20"/>
          <w:lang w:val="en-US"/>
        </w:rPr>
        <w:t>MsgA</w:t>
      </w:r>
      <w:proofErr w:type="spellEnd"/>
      <w:r w:rsidR="00687942">
        <w:rPr>
          <w:sz w:val="20"/>
          <w:szCs w:val="20"/>
          <w:lang w:val="en-US"/>
        </w:rPr>
        <w:t xml:space="preserve"> PUSCH mapping ratio determination in two-step RACH.</w:t>
      </w:r>
      <w:r w:rsidR="00687942">
        <w:rPr>
          <w:color w:val="000000"/>
          <w:sz w:val="20"/>
          <w:szCs w:val="20"/>
          <w:lang w:val="en-US"/>
        </w:rPr>
        <w:t xml:space="preserve"> </w:t>
      </w:r>
      <w:r>
        <w:rPr>
          <w:sz w:val="20"/>
          <w:szCs w:val="20"/>
          <w:lang w:val="en-US"/>
        </w:rPr>
        <w:t xml:space="preserve">Another way is the network configures the mapping ratio </w:t>
      </w:r>
      <w:r w:rsidR="00D2601E">
        <w:rPr>
          <w:sz w:val="20"/>
          <w:szCs w:val="20"/>
          <w:lang w:val="en-US"/>
        </w:rPr>
        <w:t>directly</w:t>
      </w:r>
      <w:r w:rsidR="00687942">
        <w:rPr>
          <w:sz w:val="20"/>
          <w:szCs w:val="20"/>
          <w:lang w:val="en-US"/>
        </w:rPr>
        <w:t xml:space="preserve">. To save the </w:t>
      </w:r>
      <w:proofErr w:type="spellStart"/>
      <w:r w:rsidR="00687942">
        <w:rPr>
          <w:sz w:val="20"/>
          <w:szCs w:val="20"/>
          <w:lang w:val="en-US"/>
        </w:rPr>
        <w:t>signalling</w:t>
      </w:r>
      <w:proofErr w:type="spellEnd"/>
      <w:r w:rsidR="00687942">
        <w:rPr>
          <w:sz w:val="20"/>
          <w:szCs w:val="20"/>
          <w:lang w:val="en-US"/>
        </w:rPr>
        <w:t xml:space="preserve"> overhead, the implicit derivation of mapping ratio is preferred.</w:t>
      </w:r>
    </w:p>
    <w:p w14:paraId="40ECEC9B" w14:textId="02958663" w:rsidR="00687942" w:rsidRDefault="00092D53" w:rsidP="00D12A6C">
      <w:pPr>
        <w:spacing w:before="120" w:after="120"/>
        <w:rPr>
          <w:b/>
          <w:bCs/>
          <w:color w:val="000000"/>
          <w:sz w:val="20"/>
          <w:szCs w:val="20"/>
          <w:lang w:val="en-US"/>
        </w:rPr>
      </w:pPr>
      <w:r w:rsidRPr="00441657">
        <w:rPr>
          <w:b/>
          <w:bCs/>
          <w:color w:val="000000"/>
          <w:sz w:val="20"/>
          <w:szCs w:val="20"/>
          <w:lang w:val="en-US"/>
        </w:rPr>
        <w:t xml:space="preserve">Proposal </w:t>
      </w:r>
      <w:r>
        <w:rPr>
          <w:b/>
          <w:bCs/>
          <w:color w:val="000000"/>
          <w:sz w:val="20"/>
          <w:szCs w:val="20"/>
          <w:lang w:val="en-US"/>
        </w:rPr>
        <w:t>1</w:t>
      </w:r>
      <w:r w:rsidRPr="00441657">
        <w:rPr>
          <w:b/>
          <w:bCs/>
          <w:color w:val="000000"/>
          <w:sz w:val="20"/>
          <w:szCs w:val="20"/>
          <w:lang w:val="en-US"/>
        </w:rPr>
        <w:t xml:space="preserve">: </w:t>
      </w:r>
      <w:r w:rsidR="00D12A6C">
        <w:rPr>
          <w:b/>
          <w:bCs/>
          <w:color w:val="000000"/>
          <w:sz w:val="20"/>
          <w:szCs w:val="20"/>
          <w:lang w:val="en-US"/>
        </w:rPr>
        <w:t xml:space="preserve"> </w:t>
      </w:r>
      <w:r w:rsidR="00687942" w:rsidRPr="00D12A6C">
        <w:rPr>
          <w:b/>
          <w:bCs/>
          <w:color w:val="000000"/>
          <w:sz w:val="20"/>
          <w:szCs w:val="20"/>
          <w:lang w:val="en-US"/>
        </w:rPr>
        <w:t>SSB-to-PUSCH association period</w:t>
      </w:r>
      <w:r w:rsidR="00687942">
        <w:rPr>
          <w:b/>
          <w:bCs/>
          <w:color w:val="000000"/>
          <w:sz w:val="20"/>
          <w:szCs w:val="20"/>
          <w:lang w:val="en-US"/>
        </w:rPr>
        <w:t xml:space="preserve"> is configured by the network explicitly. The</w:t>
      </w:r>
      <w:r w:rsidR="00687942" w:rsidRPr="00687942">
        <w:rPr>
          <w:b/>
          <w:bCs/>
          <w:color w:val="000000"/>
          <w:sz w:val="20"/>
          <w:szCs w:val="20"/>
          <w:lang w:val="en-US"/>
        </w:rPr>
        <w:t xml:space="preserve"> </w:t>
      </w:r>
      <w:r w:rsidR="00687942" w:rsidRPr="00D12A6C">
        <w:rPr>
          <w:b/>
          <w:bCs/>
          <w:color w:val="000000"/>
          <w:sz w:val="20"/>
          <w:szCs w:val="20"/>
          <w:lang w:val="en-US"/>
        </w:rPr>
        <w:t xml:space="preserve">SSB-to-PUSCH </w:t>
      </w:r>
      <w:r w:rsidR="00687942">
        <w:rPr>
          <w:b/>
          <w:bCs/>
          <w:color w:val="000000"/>
          <w:sz w:val="20"/>
          <w:szCs w:val="20"/>
          <w:lang w:val="en-US"/>
        </w:rPr>
        <w:t xml:space="preserve"> </w:t>
      </w:r>
      <w:r w:rsidR="00687942" w:rsidRPr="00D12A6C">
        <w:rPr>
          <w:b/>
          <w:bCs/>
          <w:color w:val="000000"/>
          <w:sz w:val="20"/>
          <w:szCs w:val="20"/>
          <w:lang w:val="en-US"/>
        </w:rPr>
        <w:t xml:space="preserve">mapping ratio </w:t>
      </w:r>
      <w:r w:rsidR="00687942">
        <w:rPr>
          <w:b/>
          <w:bCs/>
          <w:color w:val="000000"/>
          <w:sz w:val="20"/>
          <w:szCs w:val="20"/>
          <w:lang w:val="en-US"/>
        </w:rPr>
        <w:t>is derived implicitly.</w:t>
      </w:r>
    </w:p>
    <w:p w14:paraId="46FAD254" w14:textId="143D614E" w:rsidR="00955555" w:rsidRDefault="000174A4" w:rsidP="000C074D">
      <w:pPr>
        <w:spacing w:before="120" w:after="120"/>
        <w:rPr>
          <w:color w:val="000000"/>
          <w:sz w:val="20"/>
          <w:szCs w:val="20"/>
          <w:lang w:val="en-GB"/>
        </w:rPr>
      </w:pPr>
      <w:r w:rsidRPr="000174A4">
        <w:rPr>
          <w:color w:val="000000"/>
          <w:sz w:val="20"/>
          <w:szCs w:val="20"/>
          <w:lang w:val="en-US"/>
        </w:rPr>
        <w:t>According to [</w:t>
      </w:r>
      <w:r w:rsidR="00783B30">
        <w:rPr>
          <w:color w:val="000000"/>
          <w:sz w:val="20"/>
          <w:szCs w:val="20"/>
          <w:lang w:val="en-US"/>
        </w:rPr>
        <w:t>1</w:t>
      </w:r>
      <w:r w:rsidRPr="000174A4">
        <w:rPr>
          <w:color w:val="000000"/>
          <w:sz w:val="20"/>
          <w:szCs w:val="20"/>
          <w:lang w:val="en-US"/>
        </w:rPr>
        <w:t>],</w:t>
      </w:r>
      <w:r>
        <w:rPr>
          <w:color w:val="000000"/>
          <w:sz w:val="20"/>
          <w:szCs w:val="20"/>
          <w:lang w:val="en-US"/>
        </w:rPr>
        <w:t xml:space="preserve"> for CG-SDC</w:t>
      </w:r>
      <w:r w:rsidRPr="000174A4">
        <w:rPr>
          <w:color w:val="000000"/>
          <w:sz w:val="20"/>
          <w:szCs w:val="20"/>
          <w:lang w:val="en-US"/>
        </w:rPr>
        <w:t xml:space="preserve"> RAN2 agreed that </w:t>
      </w:r>
      <w:r w:rsidRPr="000174A4">
        <w:rPr>
          <w:color w:val="000000"/>
          <w:sz w:val="20"/>
          <w:szCs w:val="20"/>
          <w:lang w:val="en-GB"/>
        </w:rPr>
        <w:t xml:space="preserve">A SS-RSRP threshold is configured for SSB selection. </w:t>
      </w:r>
      <w:r w:rsidR="006A0A67">
        <w:rPr>
          <w:color w:val="000000"/>
          <w:sz w:val="20"/>
          <w:szCs w:val="20"/>
          <w:lang w:val="en-GB"/>
        </w:rPr>
        <w:t xml:space="preserve">If the measured </w:t>
      </w:r>
      <w:r w:rsidRPr="000174A4">
        <w:rPr>
          <w:color w:val="000000"/>
          <w:sz w:val="20"/>
          <w:szCs w:val="20"/>
          <w:lang w:val="en-GB"/>
        </w:rPr>
        <w:t>SS-RSRP above the threshold</w:t>
      </w:r>
      <w:r w:rsidR="006A0A67">
        <w:rPr>
          <w:color w:val="000000"/>
          <w:sz w:val="20"/>
          <w:szCs w:val="20"/>
          <w:lang w:val="en-GB"/>
        </w:rPr>
        <w:t>, UE</w:t>
      </w:r>
      <w:r w:rsidRPr="000174A4">
        <w:rPr>
          <w:color w:val="000000"/>
          <w:sz w:val="20"/>
          <w:szCs w:val="20"/>
          <w:lang w:val="en-GB"/>
        </w:rPr>
        <w:t xml:space="preserve"> </w:t>
      </w:r>
      <w:r w:rsidR="006A0A67">
        <w:rPr>
          <w:color w:val="000000"/>
          <w:sz w:val="20"/>
          <w:szCs w:val="20"/>
          <w:lang w:val="en-GB"/>
        </w:rPr>
        <w:t xml:space="preserve">would use the configured </w:t>
      </w:r>
      <w:r w:rsidRPr="000174A4">
        <w:rPr>
          <w:color w:val="000000"/>
          <w:sz w:val="20"/>
          <w:szCs w:val="20"/>
          <w:lang w:val="en-GB"/>
        </w:rPr>
        <w:t>CG resource for UL data transmissio</w:t>
      </w:r>
      <w:r>
        <w:rPr>
          <w:color w:val="000000"/>
          <w:sz w:val="20"/>
          <w:szCs w:val="20"/>
          <w:lang w:val="en-GB"/>
        </w:rPr>
        <w:t xml:space="preserve">n. With this agreement, the UE would transmit the small data only when UE is closer to the </w:t>
      </w:r>
      <w:proofErr w:type="spellStart"/>
      <w:r>
        <w:rPr>
          <w:color w:val="000000"/>
          <w:sz w:val="20"/>
          <w:szCs w:val="20"/>
          <w:lang w:val="en-GB"/>
        </w:rPr>
        <w:t>gNB</w:t>
      </w:r>
      <w:proofErr w:type="spellEnd"/>
      <w:r>
        <w:rPr>
          <w:color w:val="000000"/>
          <w:sz w:val="20"/>
          <w:szCs w:val="20"/>
          <w:lang w:val="en-GB"/>
        </w:rPr>
        <w:t xml:space="preserve">, otherwise normal PRACH procedure will be applied. </w:t>
      </w:r>
      <w:r w:rsidR="00574CBB">
        <w:rPr>
          <w:color w:val="000000"/>
          <w:sz w:val="20"/>
          <w:szCs w:val="20"/>
          <w:lang w:val="en-GB"/>
        </w:rPr>
        <w:t xml:space="preserve">If the repetition is supported for CG-SDT, SS-RSRP threshold can be setting lower, and more users could get the benefits of small data transmission without switching into RRC_CONNECTED mode. The cost is more CG-SDT resources are reserved. However, the configuration flexibility can be left to </w:t>
      </w:r>
      <w:proofErr w:type="spellStart"/>
      <w:r w:rsidR="00574CBB">
        <w:rPr>
          <w:color w:val="000000"/>
          <w:sz w:val="20"/>
          <w:szCs w:val="20"/>
          <w:lang w:val="en-GB"/>
        </w:rPr>
        <w:t>gNB</w:t>
      </w:r>
      <w:proofErr w:type="spellEnd"/>
      <w:r w:rsidR="00574CBB">
        <w:rPr>
          <w:color w:val="000000"/>
          <w:sz w:val="20"/>
          <w:szCs w:val="20"/>
          <w:lang w:val="en-GB"/>
        </w:rPr>
        <w:t xml:space="preserve">, </w:t>
      </w:r>
      <w:proofErr w:type="spellStart"/>
      <w:r w:rsidR="00574CBB">
        <w:rPr>
          <w:color w:val="000000"/>
          <w:sz w:val="20"/>
          <w:szCs w:val="20"/>
          <w:lang w:val="en-GB"/>
        </w:rPr>
        <w:t>gNB</w:t>
      </w:r>
      <w:proofErr w:type="spellEnd"/>
      <w:r w:rsidR="00574CBB">
        <w:rPr>
          <w:color w:val="000000"/>
          <w:sz w:val="20"/>
          <w:szCs w:val="20"/>
          <w:lang w:val="en-GB"/>
        </w:rPr>
        <w:t xml:space="preserve"> decides whether repetition is configured according to the scheduling strategy. </w:t>
      </w:r>
      <w:r w:rsidR="008335E0">
        <w:rPr>
          <w:color w:val="000000"/>
          <w:sz w:val="20"/>
          <w:szCs w:val="20"/>
          <w:lang w:val="en-GB"/>
        </w:rPr>
        <w:t xml:space="preserve">The standard impact to support CG-SDT repetition is limited, the parameter in existing configured grant configuration, i.e., </w:t>
      </w:r>
      <w:proofErr w:type="spellStart"/>
      <w:r w:rsidR="008335E0" w:rsidRPr="008335E0">
        <w:rPr>
          <w:i/>
          <w:iCs/>
          <w:color w:val="000000"/>
          <w:sz w:val="20"/>
          <w:szCs w:val="20"/>
          <w:lang w:val="en-GB"/>
        </w:rPr>
        <w:t>repK</w:t>
      </w:r>
      <w:proofErr w:type="spellEnd"/>
      <w:r w:rsidR="008335E0">
        <w:rPr>
          <w:color w:val="000000"/>
          <w:sz w:val="20"/>
          <w:szCs w:val="20"/>
          <w:lang w:val="en-GB"/>
        </w:rPr>
        <w:t xml:space="preserve">, can be reused. </w:t>
      </w:r>
    </w:p>
    <w:p w14:paraId="3FD6EE0B" w14:textId="4D6CEAEC" w:rsidR="003D23A1" w:rsidRDefault="000174A4" w:rsidP="000C074D">
      <w:pPr>
        <w:spacing w:before="120" w:after="120"/>
        <w:rPr>
          <w:b/>
          <w:bCs/>
          <w:color w:val="000000"/>
          <w:sz w:val="20"/>
          <w:szCs w:val="20"/>
          <w:lang w:val="en-US"/>
        </w:rPr>
      </w:pPr>
      <w:r w:rsidRPr="000174A4">
        <w:rPr>
          <w:b/>
          <w:bCs/>
          <w:color w:val="000000"/>
          <w:sz w:val="20"/>
          <w:szCs w:val="20"/>
          <w:lang w:val="en-US"/>
        </w:rPr>
        <w:t xml:space="preserve">Proposal </w:t>
      </w:r>
      <w:r w:rsidR="00574CBB">
        <w:rPr>
          <w:b/>
          <w:bCs/>
          <w:color w:val="000000"/>
          <w:sz w:val="20"/>
          <w:szCs w:val="20"/>
          <w:lang w:val="en-US"/>
        </w:rPr>
        <w:t>2</w:t>
      </w:r>
      <w:r w:rsidRPr="000174A4">
        <w:rPr>
          <w:b/>
          <w:bCs/>
          <w:color w:val="000000"/>
          <w:sz w:val="20"/>
          <w:szCs w:val="20"/>
          <w:lang w:val="en-US"/>
        </w:rPr>
        <w:t xml:space="preserve">: Time domain repetition </w:t>
      </w:r>
      <w:r w:rsidR="00D22646">
        <w:rPr>
          <w:b/>
          <w:bCs/>
          <w:color w:val="000000"/>
          <w:sz w:val="20"/>
          <w:szCs w:val="20"/>
          <w:lang w:val="en-US"/>
        </w:rPr>
        <w:t>can be</w:t>
      </w:r>
      <w:r w:rsidRPr="000174A4">
        <w:rPr>
          <w:b/>
          <w:bCs/>
          <w:color w:val="000000"/>
          <w:sz w:val="20"/>
          <w:szCs w:val="20"/>
          <w:lang w:val="en-US"/>
        </w:rPr>
        <w:t xml:space="preserve"> supported for </w:t>
      </w:r>
      <w:r>
        <w:rPr>
          <w:b/>
          <w:bCs/>
          <w:color w:val="000000"/>
          <w:sz w:val="20"/>
          <w:szCs w:val="20"/>
          <w:lang w:val="en-US"/>
        </w:rPr>
        <w:t>CG-</w:t>
      </w:r>
      <w:r w:rsidRPr="000174A4">
        <w:rPr>
          <w:b/>
          <w:bCs/>
          <w:color w:val="000000"/>
          <w:sz w:val="20"/>
          <w:szCs w:val="20"/>
          <w:lang w:val="en-US"/>
        </w:rPr>
        <w:t>SDT</w:t>
      </w:r>
      <w:r w:rsidR="007C764C">
        <w:rPr>
          <w:b/>
          <w:bCs/>
          <w:color w:val="000000"/>
          <w:sz w:val="20"/>
          <w:szCs w:val="20"/>
          <w:lang w:val="en-US"/>
        </w:rPr>
        <w:t>.</w:t>
      </w:r>
    </w:p>
    <w:p w14:paraId="549E4EA3" w14:textId="296F01A7" w:rsidR="000021E3" w:rsidRDefault="00DA0583" w:rsidP="000021E3">
      <w:pPr>
        <w:spacing w:before="120" w:after="120"/>
        <w:rPr>
          <w:color w:val="000000"/>
          <w:sz w:val="20"/>
          <w:szCs w:val="20"/>
          <w:lang w:val="en-US"/>
        </w:rPr>
      </w:pPr>
      <w:r>
        <w:rPr>
          <w:color w:val="000000"/>
          <w:sz w:val="20"/>
          <w:szCs w:val="20"/>
          <w:lang w:val="en-US"/>
        </w:rPr>
        <w:t>A</w:t>
      </w:r>
      <w:r w:rsidR="000021E3" w:rsidRPr="000021E3">
        <w:rPr>
          <w:color w:val="000000"/>
          <w:sz w:val="20"/>
          <w:szCs w:val="20"/>
          <w:lang w:val="en-US"/>
        </w:rPr>
        <w:t>n LS in [</w:t>
      </w:r>
      <w:r w:rsidR="000021E3">
        <w:rPr>
          <w:color w:val="000000"/>
          <w:sz w:val="20"/>
          <w:szCs w:val="20"/>
          <w:lang w:val="en-US"/>
        </w:rPr>
        <w:t>4</w:t>
      </w:r>
      <w:r w:rsidR="000021E3" w:rsidRPr="000021E3">
        <w:rPr>
          <w:color w:val="000000"/>
          <w:sz w:val="20"/>
          <w:szCs w:val="20"/>
          <w:lang w:val="en-US"/>
        </w:rPr>
        <w:t>]</w:t>
      </w:r>
      <w:r>
        <w:rPr>
          <w:color w:val="000000"/>
          <w:sz w:val="20"/>
          <w:szCs w:val="20"/>
          <w:lang w:val="en-US"/>
        </w:rPr>
        <w:t xml:space="preserve"> was sent</w:t>
      </w:r>
      <w:r w:rsidR="000021E3" w:rsidRPr="000021E3">
        <w:rPr>
          <w:color w:val="000000"/>
          <w:sz w:val="20"/>
          <w:szCs w:val="20"/>
          <w:lang w:val="en-US"/>
        </w:rPr>
        <w:t xml:space="preserve"> to </w:t>
      </w:r>
      <w:r>
        <w:rPr>
          <w:color w:val="000000"/>
          <w:sz w:val="20"/>
          <w:szCs w:val="20"/>
          <w:lang w:val="en-US"/>
        </w:rPr>
        <w:t xml:space="preserve">RAN1 to </w:t>
      </w:r>
      <w:r w:rsidR="000021E3" w:rsidRPr="000021E3">
        <w:rPr>
          <w:color w:val="000000"/>
          <w:sz w:val="20"/>
          <w:szCs w:val="20"/>
          <w:lang w:val="en-US"/>
        </w:rPr>
        <w:t>inform RAN2</w:t>
      </w:r>
      <w:r w:rsidR="000021E3">
        <w:rPr>
          <w:color w:val="000000"/>
          <w:sz w:val="20"/>
          <w:szCs w:val="20"/>
          <w:lang w:val="en-US"/>
        </w:rPr>
        <w:t>’s</w:t>
      </w:r>
      <w:r w:rsidR="000021E3" w:rsidRPr="000021E3">
        <w:rPr>
          <w:color w:val="000000"/>
          <w:sz w:val="20"/>
          <w:szCs w:val="20"/>
          <w:lang w:val="en-US"/>
        </w:rPr>
        <w:t xml:space="preserve"> progress on SDT</w:t>
      </w:r>
      <w:r>
        <w:rPr>
          <w:color w:val="000000"/>
          <w:sz w:val="20"/>
          <w:szCs w:val="20"/>
          <w:lang w:val="en-US"/>
        </w:rPr>
        <w:t>.</w:t>
      </w:r>
      <w:r w:rsidR="000021E3">
        <w:rPr>
          <w:color w:val="000000"/>
          <w:sz w:val="20"/>
          <w:szCs w:val="20"/>
          <w:lang w:val="en-US"/>
        </w:rPr>
        <w:t xml:space="preserve"> </w:t>
      </w:r>
      <w:r>
        <w:rPr>
          <w:color w:val="000000"/>
          <w:sz w:val="20"/>
          <w:szCs w:val="20"/>
          <w:lang w:val="en-US"/>
        </w:rPr>
        <w:t>T</w:t>
      </w:r>
      <w:r w:rsidR="000021E3">
        <w:rPr>
          <w:color w:val="000000"/>
          <w:sz w:val="20"/>
          <w:szCs w:val="20"/>
          <w:lang w:val="en-US"/>
        </w:rPr>
        <w:t xml:space="preserve">he related </w:t>
      </w:r>
      <w:r>
        <w:rPr>
          <w:color w:val="000000"/>
          <w:sz w:val="20"/>
          <w:szCs w:val="20"/>
          <w:lang w:val="en-US"/>
        </w:rPr>
        <w:t xml:space="preserve">RAN2 </w:t>
      </w:r>
      <w:r w:rsidR="000021E3">
        <w:rPr>
          <w:color w:val="000000"/>
          <w:sz w:val="20"/>
          <w:szCs w:val="20"/>
          <w:lang w:val="en-US"/>
        </w:rPr>
        <w:t>agreements are showing below.</w:t>
      </w:r>
    </w:p>
    <w:tbl>
      <w:tblPr>
        <w:tblStyle w:val="TableGrid"/>
        <w:tblW w:w="0" w:type="auto"/>
        <w:tblLook w:val="04A0" w:firstRow="1" w:lastRow="0" w:firstColumn="1" w:lastColumn="0" w:noHBand="0" w:noVBand="1"/>
      </w:tblPr>
      <w:tblGrid>
        <w:gridCol w:w="9629"/>
      </w:tblGrid>
      <w:tr w:rsidR="000021E3" w14:paraId="5E949D30" w14:textId="77777777" w:rsidTr="001C66F9">
        <w:tc>
          <w:tcPr>
            <w:tcW w:w="9629" w:type="dxa"/>
          </w:tcPr>
          <w:p w14:paraId="583B98C8" w14:textId="77777777" w:rsidR="000021E3" w:rsidRPr="000021E3" w:rsidRDefault="000021E3" w:rsidP="001C66F9">
            <w:pPr>
              <w:spacing w:before="60"/>
              <w:rPr>
                <w:rFonts w:ascii="Arial" w:hAnsi="Arial" w:cs="Arial"/>
                <w:b/>
                <w:sz w:val="20"/>
                <w:szCs w:val="20"/>
              </w:rPr>
            </w:pPr>
            <w:r w:rsidRPr="000021E3">
              <w:rPr>
                <w:rFonts w:ascii="Arial" w:hAnsi="Arial" w:cs="Arial" w:hint="eastAsia"/>
                <w:b/>
                <w:sz w:val="20"/>
                <w:szCs w:val="20"/>
              </w:rPr>
              <w:t>A</w:t>
            </w:r>
            <w:r w:rsidRPr="000021E3">
              <w:rPr>
                <w:rFonts w:ascii="Arial" w:hAnsi="Arial" w:cs="Arial"/>
                <w:b/>
                <w:sz w:val="20"/>
                <w:szCs w:val="20"/>
              </w:rPr>
              <w:t>greement:</w:t>
            </w:r>
          </w:p>
          <w:p w14:paraId="01611B22" w14:textId="77777777" w:rsidR="000021E3" w:rsidRPr="000021E3" w:rsidRDefault="000021E3" w:rsidP="001C66F9">
            <w:pPr>
              <w:rPr>
                <w:rFonts w:ascii="Arial" w:hAnsi="Arial" w:cs="Arial"/>
                <w:bCs/>
                <w:sz w:val="20"/>
                <w:szCs w:val="20"/>
              </w:rPr>
            </w:pPr>
            <w:r w:rsidRPr="000021E3">
              <w:rPr>
                <w:rFonts w:ascii="Arial" w:hAnsi="Arial" w:cs="Arial" w:hint="eastAsia"/>
                <w:bCs/>
                <w:sz w:val="20"/>
                <w:szCs w:val="20"/>
              </w:rPr>
              <w:t>F</w:t>
            </w:r>
            <w:r w:rsidRPr="000021E3">
              <w:rPr>
                <w:rFonts w:ascii="Arial" w:hAnsi="Arial" w:cs="Arial"/>
                <w:bCs/>
                <w:sz w:val="20"/>
                <w:szCs w:val="20"/>
              </w:rPr>
              <w:t>or RA-SDT</w:t>
            </w:r>
          </w:p>
          <w:p w14:paraId="055A9F1A" w14:textId="77777777" w:rsidR="000021E3" w:rsidRPr="000021E3" w:rsidRDefault="000021E3" w:rsidP="001C66F9">
            <w:pPr>
              <w:pStyle w:val="ListParagraph"/>
              <w:widowControl w:val="0"/>
              <w:numPr>
                <w:ilvl w:val="0"/>
                <w:numId w:val="29"/>
              </w:numPr>
              <w:overflowPunct w:val="0"/>
              <w:autoSpaceDE w:val="0"/>
              <w:autoSpaceDN w:val="0"/>
              <w:adjustRightInd w:val="0"/>
              <w:contextualSpacing/>
              <w:textAlignment w:val="baseline"/>
              <w:rPr>
                <w:rFonts w:ascii="Arial" w:hAnsi="Arial" w:cs="Arial"/>
                <w:bCs/>
                <w:sz w:val="20"/>
                <w:szCs w:val="20"/>
                <w:lang w:eastAsia="zh-CN"/>
              </w:rPr>
            </w:pPr>
            <w:r w:rsidRPr="000021E3">
              <w:rPr>
                <w:rFonts w:ascii="Arial" w:hAnsi="Arial" w:cs="Arial"/>
                <w:sz w:val="20"/>
                <w:szCs w:val="20"/>
              </w:rPr>
              <w:t>CFRA is not supported for RA-SDT</w:t>
            </w:r>
          </w:p>
          <w:p w14:paraId="00966152" w14:textId="77777777" w:rsidR="000021E3" w:rsidRPr="000021E3" w:rsidRDefault="000021E3" w:rsidP="001C66F9">
            <w:pPr>
              <w:rPr>
                <w:rFonts w:ascii="Arial" w:hAnsi="Arial" w:cs="Arial"/>
                <w:bCs/>
                <w:sz w:val="20"/>
                <w:szCs w:val="20"/>
              </w:rPr>
            </w:pPr>
            <w:r w:rsidRPr="000021E3">
              <w:rPr>
                <w:rFonts w:ascii="Arial" w:hAnsi="Arial" w:cs="Arial" w:hint="eastAsia"/>
                <w:bCs/>
                <w:sz w:val="20"/>
                <w:szCs w:val="20"/>
              </w:rPr>
              <w:t>F</w:t>
            </w:r>
            <w:r w:rsidRPr="000021E3">
              <w:rPr>
                <w:rFonts w:ascii="Arial" w:hAnsi="Arial" w:cs="Arial"/>
                <w:bCs/>
                <w:sz w:val="20"/>
                <w:szCs w:val="20"/>
              </w:rPr>
              <w:t>or CG-SDT</w:t>
            </w:r>
          </w:p>
          <w:p w14:paraId="24204098" w14:textId="77777777" w:rsidR="000021E3" w:rsidRPr="000021E3" w:rsidRDefault="000021E3" w:rsidP="001C66F9">
            <w:pPr>
              <w:pStyle w:val="ListParagraph"/>
              <w:widowControl w:val="0"/>
              <w:numPr>
                <w:ilvl w:val="0"/>
                <w:numId w:val="29"/>
              </w:numPr>
              <w:overflowPunct w:val="0"/>
              <w:autoSpaceDE w:val="0"/>
              <w:autoSpaceDN w:val="0"/>
              <w:adjustRightInd w:val="0"/>
              <w:spacing w:after="180"/>
              <w:contextualSpacing/>
              <w:textAlignment w:val="baseline"/>
              <w:rPr>
                <w:rFonts w:ascii="Arial" w:hAnsi="Arial" w:cs="Arial"/>
                <w:bCs/>
                <w:sz w:val="20"/>
                <w:szCs w:val="20"/>
                <w:lang w:eastAsia="zh-CN"/>
              </w:rPr>
            </w:pPr>
            <w:r w:rsidRPr="000021E3">
              <w:rPr>
                <w:rFonts w:ascii="Arial" w:hAnsi="Arial" w:cs="Arial"/>
                <w:sz w:val="20"/>
                <w:szCs w:val="20"/>
                <w:u w:val="single"/>
              </w:rPr>
              <w:t>Working assumption</w:t>
            </w:r>
            <w:r w:rsidRPr="000021E3">
              <w:rPr>
                <w:rFonts w:ascii="Arial" w:hAnsi="Arial" w:cs="Arial"/>
                <w:sz w:val="20"/>
                <w:szCs w:val="20"/>
              </w:rPr>
              <w:t>: UE-specific search space is configured for UEs performing CG-SDT. RAN2 asks RAN1 whether this working assumption can be confirmed</w:t>
            </w:r>
          </w:p>
          <w:p w14:paraId="045ACB76" w14:textId="77777777" w:rsidR="000021E3" w:rsidRPr="000021E3" w:rsidRDefault="000021E3" w:rsidP="001C66F9">
            <w:pPr>
              <w:pStyle w:val="ListParagraph"/>
              <w:widowControl w:val="0"/>
              <w:numPr>
                <w:ilvl w:val="0"/>
                <w:numId w:val="29"/>
              </w:numPr>
              <w:overflowPunct w:val="0"/>
              <w:autoSpaceDE w:val="0"/>
              <w:autoSpaceDN w:val="0"/>
              <w:adjustRightInd w:val="0"/>
              <w:spacing w:after="120"/>
              <w:contextualSpacing/>
              <w:textAlignment w:val="baseline"/>
              <w:rPr>
                <w:rFonts w:ascii="Arial" w:hAnsi="Arial" w:cs="Arial"/>
                <w:bCs/>
                <w:sz w:val="20"/>
                <w:szCs w:val="20"/>
                <w:lang w:eastAsia="zh-CN"/>
              </w:rPr>
            </w:pPr>
            <w:r w:rsidRPr="000021E3">
              <w:rPr>
                <w:rFonts w:ascii="Arial" w:hAnsi="Arial" w:cs="Arial"/>
                <w:sz w:val="20"/>
                <w:szCs w:val="20"/>
              </w:rPr>
              <w:t>CG-SDT resource can be configured on either initial BWP or separate SDT BWP. Ask RAN1 to confirm</w:t>
            </w:r>
          </w:p>
          <w:p w14:paraId="2A3C18EA" w14:textId="77777777" w:rsidR="000021E3" w:rsidRPr="000021E3" w:rsidRDefault="000021E3" w:rsidP="001C66F9">
            <w:pPr>
              <w:pStyle w:val="ListParagraph"/>
              <w:widowControl w:val="0"/>
              <w:numPr>
                <w:ilvl w:val="0"/>
                <w:numId w:val="29"/>
              </w:numPr>
              <w:overflowPunct w:val="0"/>
              <w:autoSpaceDE w:val="0"/>
              <w:autoSpaceDN w:val="0"/>
              <w:adjustRightInd w:val="0"/>
              <w:spacing w:after="120"/>
              <w:contextualSpacing/>
              <w:textAlignment w:val="baseline"/>
              <w:rPr>
                <w:rFonts w:ascii="Arial" w:eastAsia="SimSun" w:hAnsi="Arial" w:cs="Arial"/>
                <w:bCs/>
                <w:szCs w:val="20"/>
                <w:lang w:val="en-US"/>
              </w:rPr>
            </w:pPr>
            <w:r w:rsidRPr="000021E3">
              <w:rPr>
                <w:rFonts w:ascii="Arial" w:hAnsi="Arial" w:cs="Arial"/>
                <w:sz w:val="20"/>
                <w:szCs w:val="20"/>
              </w:rPr>
              <w:t>RAN2 thinks that some feedback may be beneficial in case CG is used for subsequent transmission.  RAN2 assumes that existing mechanism can be used.</w:t>
            </w:r>
          </w:p>
        </w:tc>
      </w:tr>
    </w:tbl>
    <w:p w14:paraId="065F2A46" w14:textId="7106B549" w:rsidR="000021E3" w:rsidRDefault="000021E3" w:rsidP="000021E3">
      <w:pPr>
        <w:spacing w:before="120" w:after="120"/>
        <w:rPr>
          <w:color w:val="000000"/>
          <w:sz w:val="20"/>
          <w:szCs w:val="20"/>
          <w:lang w:val="en-US"/>
        </w:rPr>
      </w:pPr>
      <w:r>
        <w:rPr>
          <w:color w:val="000000"/>
          <w:sz w:val="20"/>
          <w:szCs w:val="20"/>
          <w:lang w:val="en-US"/>
        </w:rPr>
        <w:t>As for RAN2’s</w:t>
      </w:r>
      <w:r w:rsidRPr="000021E3">
        <w:rPr>
          <w:color w:val="000000"/>
          <w:sz w:val="20"/>
          <w:szCs w:val="20"/>
          <w:lang w:val="en-US"/>
        </w:rPr>
        <w:t xml:space="preserve"> questions</w:t>
      </w:r>
      <w:r>
        <w:rPr>
          <w:color w:val="000000"/>
          <w:sz w:val="20"/>
          <w:szCs w:val="20"/>
          <w:lang w:val="en-US"/>
        </w:rPr>
        <w:t>, our considerations are shared in below.</w:t>
      </w:r>
    </w:p>
    <w:p w14:paraId="0BE5638C" w14:textId="77777777" w:rsidR="000021E3" w:rsidRPr="000021E3" w:rsidRDefault="000021E3" w:rsidP="000021E3">
      <w:pPr>
        <w:pStyle w:val="ListParagraph"/>
        <w:numPr>
          <w:ilvl w:val="0"/>
          <w:numId w:val="32"/>
        </w:numPr>
        <w:spacing w:before="120" w:after="120"/>
        <w:rPr>
          <w:bCs/>
          <w:color w:val="000000"/>
          <w:sz w:val="20"/>
          <w:szCs w:val="20"/>
          <w:lang w:val="en-GB"/>
        </w:rPr>
      </w:pPr>
      <w:r w:rsidRPr="000021E3">
        <w:rPr>
          <w:color w:val="000000"/>
          <w:sz w:val="20"/>
          <w:szCs w:val="20"/>
          <w:u w:val="single"/>
          <w:lang w:val="en-GB"/>
        </w:rPr>
        <w:t>Working assumption</w:t>
      </w:r>
      <w:r w:rsidRPr="000021E3">
        <w:rPr>
          <w:color w:val="000000"/>
          <w:sz w:val="20"/>
          <w:szCs w:val="20"/>
          <w:lang w:val="en-GB"/>
        </w:rPr>
        <w:t>: UE-specific search space is configured for UEs performing CG-SDT. RAN2 asks RAN1 whether this working assumption can be confirmed</w:t>
      </w:r>
    </w:p>
    <w:p w14:paraId="7A28BA76" w14:textId="77777777" w:rsidR="000021E3" w:rsidRPr="000021E3" w:rsidRDefault="000021E3" w:rsidP="000021E3">
      <w:pPr>
        <w:pStyle w:val="ListParagraph"/>
        <w:numPr>
          <w:ilvl w:val="0"/>
          <w:numId w:val="0"/>
        </w:numPr>
        <w:spacing w:before="120" w:after="120"/>
        <w:ind w:left="502"/>
        <w:rPr>
          <w:bCs/>
          <w:color w:val="000000"/>
          <w:sz w:val="20"/>
          <w:szCs w:val="20"/>
          <w:lang w:val="en-GB"/>
        </w:rPr>
      </w:pPr>
      <w:r w:rsidRPr="000021E3">
        <w:rPr>
          <w:color w:val="000000"/>
          <w:sz w:val="20"/>
          <w:szCs w:val="20"/>
          <w:lang w:val="en-GB"/>
        </w:rPr>
        <w:t>Answer</w:t>
      </w:r>
      <w:r w:rsidRPr="000021E3">
        <w:rPr>
          <w:bCs/>
          <w:color w:val="000000"/>
          <w:sz w:val="20"/>
          <w:szCs w:val="20"/>
          <w:lang w:val="en-GB"/>
        </w:rPr>
        <w:t>:</w:t>
      </w:r>
      <w:r>
        <w:rPr>
          <w:bCs/>
          <w:color w:val="000000"/>
          <w:sz w:val="20"/>
          <w:szCs w:val="20"/>
          <w:lang w:val="en-GB"/>
        </w:rPr>
        <w:t xml:space="preserve"> </w:t>
      </w:r>
      <w:r w:rsidRPr="000021E3">
        <w:rPr>
          <w:color w:val="000000"/>
          <w:sz w:val="20"/>
          <w:szCs w:val="20"/>
          <w:lang w:val="en-US"/>
        </w:rPr>
        <w:t>the working assumption from RAN2 can be confirmed, the UE-specific search space can be configured before UE leave the RRC_CONNECTED state to RRC_INACTVIE state</w:t>
      </w:r>
      <w:r>
        <w:rPr>
          <w:color w:val="000000"/>
          <w:sz w:val="20"/>
          <w:szCs w:val="20"/>
          <w:lang w:val="en-US"/>
        </w:rPr>
        <w:t>.</w:t>
      </w:r>
    </w:p>
    <w:p w14:paraId="07864173" w14:textId="77777777" w:rsidR="000021E3" w:rsidRPr="000021E3" w:rsidRDefault="000021E3" w:rsidP="000021E3">
      <w:pPr>
        <w:pStyle w:val="ListParagraph"/>
        <w:numPr>
          <w:ilvl w:val="0"/>
          <w:numId w:val="32"/>
        </w:numPr>
        <w:spacing w:before="120"/>
        <w:rPr>
          <w:bCs/>
          <w:color w:val="000000"/>
          <w:sz w:val="20"/>
          <w:szCs w:val="20"/>
          <w:lang w:val="en-GB"/>
        </w:rPr>
      </w:pPr>
      <w:r w:rsidRPr="000021E3">
        <w:rPr>
          <w:color w:val="000000"/>
          <w:sz w:val="20"/>
          <w:szCs w:val="20"/>
          <w:lang w:val="en-GB"/>
        </w:rPr>
        <w:t>CG-SDT resource can be configured on either initial BWP or separate SDT BWP. Ask RAN1 to confirm</w:t>
      </w:r>
    </w:p>
    <w:p w14:paraId="44898090" w14:textId="5CC9BE36" w:rsidR="000021E3" w:rsidRDefault="000021E3" w:rsidP="000021E3">
      <w:pPr>
        <w:spacing w:before="120" w:after="120"/>
        <w:ind w:left="502"/>
        <w:rPr>
          <w:color w:val="000000"/>
          <w:sz w:val="20"/>
          <w:szCs w:val="20"/>
          <w:lang w:val="en-US"/>
        </w:rPr>
      </w:pPr>
      <w:r>
        <w:rPr>
          <w:color w:val="000000"/>
          <w:sz w:val="20"/>
          <w:szCs w:val="20"/>
          <w:lang w:val="en-US"/>
        </w:rPr>
        <w:t>According to our understanding, the CG-SDT resource here includes both UL and DL resource, which can be configured in both DL and UL initial BWP or separate SDT BWP</w:t>
      </w:r>
      <w:r w:rsidR="00807162">
        <w:rPr>
          <w:color w:val="000000"/>
          <w:sz w:val="20"/>
          <w:szCs w:val="20"/>
          <w:lang w:val="en-US"/>
        </w:rPr>
        <w:t>.</w:t>
      </w:r>
      <w:r>
        <w:rPr>
          <w:color w:val="000000"/>
          <w:sz w:val="20"/>
          <w:szCs w:val="20"/>
          <w:lang w:val="en-US"/>
        </w:rPr>
        <w:t xml:space="preserve"> </w:t>
      </w:r>
    </w:p>
    <w:p w14:paraId="6A15FF75" w14:textId="1B23AA66" w:rsidR="000021E3" w:rsidRDefault="000021E3" w:rsidP="000021E3">
      <w:pPr>
        <w:pStyle w:val="ListParagraph"/>
        <w:numPr>
          <w:ilvl w:val="0"/>
          <w:numId w:val="32"/>
        </w:numPr>
        <w:spacing w:before="120" w:after="120"/>
        <w:rPr>
          <w:color w:val="000000"/>
          <w:sz w:val="20"/>
          <w:szCs w:val="20"/>
          <w:lang w:val="en-US"/>
        </w:rPr>
      </w:pPr>
      <w:r w:rsidRPr="000021E3">
        <w:rPr>
          <w:color w:val="000000"/>
          <w:sz w:val="20"/>
          <w:szCs w:val="20"/>
          <w:lang w:val="en-US"/>
        </w:rPr>
        <w:t xml:space="preserve">RAN2 thinks that some feedback may be beneficial in case CG is used for subsequent transmission.  RAN2 assumes that existing mechanism can be used </w:t>
      </w:r>
    </w:p>
    <w:p w14:paraId="424CCB6B" w14:textId="132266D2" w:rsidR="00807162" w:rsidRPr="000021E3" w:rsidRDefault="00807162" w:rsidP="00807162">
      <w:pPr>
        <w:pStyle w:val="ListParagraph"/>
        <w:numPr>
          <w:ilvl w:val="0"/>
          <w:numId w:val="0"/>
        </w:numPr>
        <w:spacing w:before="120" w:after="120"/>
        <w:ind w:left="502"/>
        <w:rPr>
          <w:color w:val="000000"/>
          <w:sz w:val="20"/>
          <w:szCs w:val="20"/>
          <w:lang w:val="en-US"/>
        </w:rPr>
      </w:pPr>
      <w:r>
        <w:rPr>
          <w:color w:val="000000"/>
          <w:sz w:val="20"/>
          <w:szCs w:val="20"/>
          <w:lang w:val="en-US"/>
        </w:rPr>
        <w:t>For the subsequent transmission, NR-U defined feedback mechanism for UL HARQ could be the starting point for SDT feedback.</w:t>
      </w:r>
    </w:p>
    <w:p w14:paraId="1DE6452F" w14:textId="77777777" w:rsidR="00D12367" w:rsidRDefault="00D12367" w:rsidP="00D12367">
      <w:pPr>
        <w:pStyle w:val="Heading1"/>
      </w:pPr>
      <w:r>
        <w:lastRenderedPageBreak/>
        <w:t>Summary</w:t>
      </w:r>
    </w:p>
    <w:p w14:paraId="25F8D0AD" w14:textId="5F10957D"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9E7222">
        <w:rPr>
          <w:rFonts w:eastAsia="MS Mincho"/>
          <w:sz w:val="20"/>
          <w:szCs w:val="20"/>
          <w:lang w:val="en-US" w:eastAsia="ja-JP"/>
        </w:rPr>
        <w:t>small data transmission impacts on physical layer aspects and the issues raised by RAN2</w:t>
      </w:r>
      <w:r w:rsidR="001D0C16">
        <w:rPr>
          <w:rFonts w:eastAsia="MS Mincho"/>
          <w:sz w:val="20"/>
          <w:szCs w:val="20"/>
          <w:lang w:val="en-US" w:eastAsia="ja-JP"/>
        </w:rPr>
        <w:t xml:space="preserve">, and </w:t>
      </w:r>
      <w:r w:rsidRPr="00447804">
        <w:rPr>
          <w:rFonts w:eastAsia="MS Mincho"/>
          <w:sz w:val="20"/>
          <w:szCs w:val="20"/>
          <w:lang w:eastAsia="ja-JP"/>
        </w:rPr>
        <w:t>have the following proposals:</w:t>
      </w:r>
    </w:p>
    <w:p w14:paraId="55319349" w14:textId="77777777" w:rsidR="00687942" w:rsidRPr="00D12A6C" w:rsidRDefault="00687942" w:rsidP="00687942">
      <w:pPr>
        <w:spacing w:before="120" w:after="120"/>
        <w:rPr>
          <w:b/>
          <w:bCs/>
          <w:color w:val="000000"/>
          <w:sz w:val="20"/>
          <w:szCs w:val="20"/>
          <w:lang w:val="en-US"/>
        </w:rPr>
      </w:pPr>
      <w:r w:rsidRPr="00441657">
        <w:rPr>
          <w:b/>
          <w:bCs/>
          <w:color w:val="000000"/>
          <w:sz w:val="20"/>
          <w:szCs w:val="20"/>
          <w:lang w:val="en-US"/>
        </w:rPr>
        <w:t xml:space="preserve">Proposal </w:t>
      </w:r>
      <w:r>
        <w:rPr>
          <w:b/>
          <w:bCs/>
          <w:color w:val="000000"/>
          <w:sz w:val="20"/>
          <w:szCs w:val="20"/>
          <w:lang w:val="en-US"/>
        </w:rPr>
        <w:t>1</w:t>
      </w:r>
      <w:r w:rsidRPr="00441657">
        <w:rPr>
          <w:b/>
          <w:bCs/>
          <w:color w:val="000000"/>
          <w:sz w:val="20"/>
          <w:szCs w:val="20"/>
          <w:lang w:val="en-US"/>
        </w:rPr>
        <w:t xml:space="preserve">: </w:t>
      </w:r>
      <w:r>
        <w:rPr>
          <w:b/>
          <w:bCs/>
          <w:color w:val="000000"/>
          <w:sz w:val="20"/>
          <w:szCs w:val="20"/>
          <w:lang w:val="en-US"/>
        </w:rPr>
        <w:t xml:space="preserve"> </w:t>
      </w:r>
      <w:r w:rsidRPr="00D12A6C">
        <w:rPr>
          <w:b/>
          <w:bCs/>
          <w:color w:val="000000"/>
          <w:sz w:val="20"/>
          <w:szCs w:val="20"/>
          <w:lang w:val="en-US"/>
        </w:rPr>
        <w:t>SSB-to-PUSCH association period</w:t>
      </w:r>
      <w:r>
        <w:rPr>
          <w:b/>
          <w:bCs/>
          <w:color w:val="000000"/>
          <w:sz w:val="20"/>
          <w:szCs w:val="20"/>
          <w:lang w:val="en-US"/>
        </w:rPr>
        <w:t xml:space="preserve"> is configured by the network explicitly. The</w:t>
      </w:r>
      <w:r w:rsidRPr="00687942">
        <w:rPr>
          <w:b/>
          <w:bCs/>
          <w:color w:val="000000"/>
          <w:sz w:val="20"/>
          <w:szCs w:val="20"/>
          <w:lang w:val="en-US"/>
        </w:rPr>
        <w:t xml:space="preserve"> </w:t>
      </w:r>
      <w:r w:rsidRPr="00D12A6C">
        <w:rPr>
          <w:b/>
          <w:bCs/>
          <w:color w:val="000000"/>
          <w:sz w:val="20"/>
          <w:szCs w:val="20"/>
          <w:lang w:val="en-US"/>
        </w:rPr>
        <w:t xml:space="preserve">SSB-to-PUSCH </w:t>
      </w:r>
      <w:r>
        <w:rPr>
          <w:b/>
          <w:bCs/>
          <w:color w:val="000000"/>
          <w:sz w:val="20"/>
          <w:szCs w:val="20"/>
          <w:lang w:val="en-US"/>
        </w:rPr>
        <w:t xml:space="preserve"> </w:t>
      </w:r>
      <w:r w:rsidRPr="00D12A6C">
        <w:rPr>
          <w:b/>
          <w:bCs/>
          <w:color w:val="000000"/>
          <w:sz w:val="20"/>
          <w:szCs w:val="20"/>
          <w:lang w:val="en-US"/>
        </w:rPr>
        <w:t xml:space="preserve">mapping ratio </w:t>
      </w:r>
      <w:r>
        <w:rPr>
          <w:b/>
          <w:bCs/>
          <w:color w:val="000000"/>
          <w:sz w:val="20"/>
          <w:szCs w:val="20"/>
          <w:lang w:val="en-US"/>
        </w:rPr>
        <w:t>is derived implicitly.</w:t>
      </w:r>
    </w:p>
    <w:p w14:paraId="2EF526BC" w14:textId="6CCE2EC8" w:rsidR="00CE0FCA" w:rsidRDefault="00CE0FCA" w:rsidP="00CE0FCA">
      <w:pPr>
        <w:spacing w:before="120" w:after="120"/>
        <w:rPr>
          <w:b/>
          <w:bCs/>
          <w:color w:val="000000"/>
          <w:sz w:val="20"/>
          <w:szCs w:val="20"/>
          <w:lang w:val="en-US"/>
        </w:rPr>
      </w:pPr>
      <w:r w:rsidRPr="000174A4">
        <w:rPr>
          <w:b/>
          <w:bCs/>
          <w:color w:val="000000"/>
          <w:sz w:val="20"/>
          <w:szCs w:val="20"/>
          <w:lang w:val="en-US"/>
        </w:rPr>
        <w:t xml:space="preserve">Proposal </w:t>
      </w:r>
      <w:r>
        <w:rPr>
          <w:b/>
          <w:bCs/>
          <w:color w:val="000000"/>
          <w:sz w:val="20"/>
          <w:szCs w:val="20"/>
          <w:lang w:val="en-US"/>
        </w:rPr>
        <w:t>2</w:t>
      </w:r>
      <w:r w:rsidRPr="000174A4">
        <w:rPr>
          <w:b/>
          <w:bCs/>
          <w:color w:val="000000"/>
          <w:sz w:val="20"/>
          <w:szCs w:val="20"/>
          <w:lang w:val="en-US"/>
        </w:rPr>
        <w:t xml:space="preserve">: Time domain repetition </w:t>
      </w:r>
      <w:r>
        <w:rPr>
          <w:b/>
          <w:bCs/>
          <w:color w:val="000000"/>
          <w:sz w:val="20"/>
          <w:szCs w:val="20"/>
          <w:lang w:val="en-US"/>
        </w:rPr>
        <w:t>can be</w:t>
      </w:r>
      <w:r w:rsidRPr="000174A4">
        <w:rPr>
          <w:b/>
          <w:bCs/>
          <w:color w:val="000000"/>
          <w:sz w:val="20"/>
          <w:szCs w:val="20"/>
          <w:lang w:val="en-US"/>
        </w:rPr>
        <w:t xml:space="preserve"> supported for </w:t>
      </w:r>
      <w:r>
        <w:rPr>
          <w:b/>
          <w:bCs/>
          <w:color w:val="000000"/>
          <w:sz w:val="20"/>
          <w:szCs w:val="20"/>
          <w:lang w:val="en-US"/>
        </w:rPr>
        <w:t>CG-</w:t>
      </w:r>
      <w:r w:rsidRPr="000174A4">
        <w:rPr>
          <w:b/>
          <w:bCs/>
          <w:color w:val="000000"/>
          <w:sz w:val="20"/>
          <w:szCs w:val="20"/>
          <w:lang w:val="en-US"/>
        </w:rPr>
        <w:t>SDT</w:t>
      </w:r>
      <w:r>
        <w:rPr>
          <w:b/>
          <w:bCs/>
          <w:color w:val="000000"/>
          <w:sz w:val="20"/>
          <w:szCs w:val="20"/>
          <w:lang w:val="en-US"/>
        </w:rPr>
        <w:t>.</w:t>
      </w:r>
    </w:p>
    <w:p w14:paraId="19C24DC8" w14:textId="032C53CD" w:rsidR="007D27ED" w:rsidRDefault="0017048A" w:rsidP="004E2BE0">
      <w:pPr>
        <w:pStyle w:val="Heading1"/>
      </w:pPr>
      <w:r w:rsidRPr="00342BBF">
        <w:t>References</w:t>
      </w:r>
      <w:bookmarkStart w:id="2" w:name="_Ref523487962"/>
      <w:bookmarkStart w:id="3" w:name="_Ref523653838"/>
    </w:p>
    <w:p w14:paraId="4BA95C23" w14:textId="2ED2F60C" w:rsidR="000170A0" w:rsidRPr="003467CE" w:rsidRDefault="00446BF5" w:rsidP="000170A0">
      <w:pPr>
        <w:widowControl w:val="0"/>
        <w:numPr>
          <w:ilvl w:val="0"/>
          <w:numId w:val="5"/>
        </w:numPr>
        <w:jc w:val="both"/>
        <w:rPr>
          <w:sz w:val="20"/>
          <w:szCs w:val="20"/>
        </w:rPr>
      </w:pPr>
      <w:r w:rsidRPr="00446BF5">
        <w:rPr>
          <w:sz w:val="20"/>
          <w:szCs w:val="20"/>
          <w:lang w:val="en-GB"/>
        </w:rPr>
        <w:t>R1-2100025</w:t>
      </w:r>
      <w:r w:rsidR="00120E8E" w:rsidRPr="007049A6">
        <w:rPr>
          <w:sz w:val="20"/>
          <w:szCs w:val="20"/>
        </w:rPr>
        <w:t>, “</w:t>
      </w:r>
      <w:r w:rsidR="001675F6" w:rsidRPr="001675F6">
        <w:rPr>
          <w:sz w:val="20"/>
          <w:szCs w:val="20"/>
          <w:lang w:val="en-GB"/>
        </w:rPr>
        <w:t>L</w:t>
      </w:r>
      <w:r w:rsidR="001675F6" w:rsidRPr="001675F6">
        <w:rPr>
          <w:bCs/>
          <w:sz w:val="20"/>
          <w:szCs w:val="20"/>
          <w:lang w:val="en-GB"/>
        </w:rPr>
        <w:t>S on physical layer aspects of small data transmission</w:t>
      </w:r>
      <w:r w:rsidR="00120E8E" w:rsidRPr="007049A6">
        <w:rPr>
          <w:sz w:val="20"/>
          <w:szCs w:val="20"/>
        </w:rPr>
        <w:t xml:space="preserve">”, </w:t>
      </w:r>
      <w:r w:rsidR="001675F6">
        <w:rPr>
          <w:sz w:val="20"/>
          <w:szCs w:val="20"/>
          <w:lang w:val="en-US"/>
        </w:rPr>
        <w:t>RAN2</w:t>
      </w:r>
      <w:r>
        <w:rPr>
          <w:sz w:val="20"/>
          <w:szCs w:val="20"/>
          <w:lang w:val="en-US"/>
        </w:rPr>
        <w:t>, ZTE</w:t>
      </w:r>
    </w:p>
    <w:p w14:paraId="236FE178" w14:textId="77777777" w:rsidR="00AC5B81" w:rsidRDefault="00796C70" w:rsidP="00AC5B81">
      <w:pPr>
        <w:widowControl w:val="0"/>
        <w:numPr>
          <w:ilvl w:val="0"/>
          <w:numId w:val="5"/>
        </w:numPr>
        <w:jc w:val="both"/>
        <w:rPr>
          <w:sz w:val="20"/>
          <w:szCs w:val="20"/>
          <w:lang w:val="en-GB"/>
        </w:rPr>
      </w:pPr>
      <w:r w:rsidRPr="00547E60">
        <w:rPr>
          <w:sz w:val="20"/>
          <w:szCs w:val="20"/>
          <w:lang w:val="en-GB"/>
        </w:rPr>
        <w:t>R1-2104151</w:t>
      </w:r>
      <w:r>
        <w:rPr>
          <w:sz w:val="20"/>
          <w:szCs w:val="20"/>
          <w:lang w:val="en-GB"/>
        </w:rPr>
        <w:t>, “</w:t>
      </w:r>
      <w:r w:rsidRPr="00547E60">
        <w:rPr>
          <w:sz w:val="20"/>
          <w:szCs w:val="20"/>
          <w:lang w:val="en-GB"/>
        </w:rPr>
        <w:t>Report of RAN1#104bis-e meeting</w:t>
      </w:r>
      <w:r>
        <w:rPr>
          <w:sz w:val="20"/>
          <w:szCs w:val="20"/>
          <w:lang w:val="en-GB"/>
        </w:rPr>
        <w:t>”, ETSI MCC</w:t>
      </w:r>
      <w:bookmarkEnd w:id="2"/>
      <w:bookmarkEnd w:id="3"/>
    </w:p>
    <w:p w14:paraId="6210D8B1" w14:textId="78E1107E" w:rsidR="00DE716A" w:rsidRDefault="00AC5B81" w:rsidP="00AC5B81">
      <w:pPr>
        <w:widowControl w:val="0"/>
        <w:numPr>
          <w:ilvl w:val="0"/>
          <w:numId w:val="5"/>
        </w:numPr>
        <w:jc w:val="both"/>
        <w:rPr>
          <w:sz w:val="20"/>
          <w:szCs w:val="20"/>
          <w:lang w:val="en-GB"/>
        </w:rPr>
      </w:pPr>
      <w:r w:rsidRPr="00AC5B81">
        <w:rPr>
          <w:sz w:val="20"/>
          <w:szCs w:val="20"/>
          <w:lang w:val="en-GB"/>
        </w:rPr>
        <w:t>R1-2106402, “Report of RAN1#105-e meeting”, ETSI MCC</w:t>
      </w:r>
    </w:p>
    <w:p w14:paraId="6D429C2C" w14:textId="1C5A0724" w:rsidR="000021E3" w:rsidRPr="000021E3" w:rsidRDefault="000021E3" w:rsidP="00AC5B81">
      <w:pPr>
        <w:widowControl w:val="0"/>
        <w:numPr>
          <w:ilvl w:val="0"/>
          <w:numId w:val="5"/>
        </w:numPr>
        <w:jc w:val="both"/>
        <w:rPr>
          <w:bCs/>
          <w:sz w:val="20"/>
          <w:szCs w:val="20"/>
          <w:lang w:val="en-GB"/>
        </w:rPr>
      </w:pPr>
      <w:r>
        <w:rPr>
          <w:bCs/>
          <w:sz w:val="20"/>
          <w:szCs w:val="20"/>
          <w:lang w:val="en-US"/>
        </w:rPr>
        <w:t>R1-2106405, “</w:t>
      </w:r>
      <w:r w:rsidRPr="000021E3">
        <w:rPr>
          <w:bCs/>
          <w:sz w:val="20"/>
          <w:szCs w:val="20"/>
          <w:lang w:val="en-US"/>
        </w:rPr>
        <w:t>Reply LS to RAN1 on physical layer aspects of small data transmission</w:t>
      </w:r>
      <w:r>
        <w:rPr>
          <w:bCs/>
          <w:sz w:val="20"/>
          <w:szCs w:val="20"/>
          <w:lang w:val="en-US"/>
        </w:rPr>
        <w:t>”, RAN2</w:t>
      </w:r>
    </w:p>
    <w:sectPr w:rsidR="000021E3" w:rsidRPr="000021E3"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25D98" w14:textId="77777777" w:rsidR="0050773A" w:rsidRDefault="0050773A">
      <w:r>
        <w:separator/>
      </w:r>
    </w:p>
  </w:endnote>
  <w:endnote w:type="continuationSeparator" w:id="0">
    <w:p w14:paraId="69C016CC" w14:textId="77777777" w:rsidR="0050773A" w:rsidRDefault="0050773A">
      <w:r>
        <w:continuationSeparator/>
      </w:r>
    </w:p>
  </w:endnote>
  <w:endnote w:type="continuationNotice" w:id="1">
    <w:p w14:paraId="3091A24D" w14:textId="77777777" w:rsidR="0050773A" w:rsidRDefault="005077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B4E2D" w14:textId="77777777" w:rsidR="0050773A" w:rsidRDefault="0050773A">
      <w:r>
        <w:separator/>
      </w:r>
    </w:p>
  </w:footnote>
  <w:footnote w:type="continuationSeparator" w:id="0">
    <w:p w14:paraId="68C8F57C" w14:textId="77777777" w:rsidR="0050773A" w:rsidRDefault="0050773A">
      <w:r>
        <w:continuationSeparator/>
      </w:r>
    </w:p>
  </w:footnote>
  <w:footnote w:type="continuationNotice" w:id="1">
    <w:p w14:paraId="133A33AF" w14:textId="77777777" w:rsidR="0050773A" w:rsidRDefault="005077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2900DA6"/>
    <w:multiLevelType w:val="hybridMultilevel"/>
    <w:tmpl w:val="79C60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21B60"/>
    <w:multiLevelType w:val="hybridMultilevel"/>
    <w:tmpl w:val="C3563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31A4E9D"/>
    <w:multiLevelType w:val="multilevel"/>
    <w:tmpl w:val="6A6AF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3F08C7"/>
    <w:multiLevelType w:val="hybridMultilevel"/>
    <w:tmpl w:val="B5E23E3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295277"/>
    <w:multiLevelType w:val="hybridMultilevel"/>
    <w:tmpl w:val="B518F38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490F77AD"/>
    <w:multiLevelType w:val="hybridMultilevel"/>
    <w:tmpl w:val="F3D2669A"/>
    <w:lvl w:ilvl="0" w:tplc="BE042F66">
      <w:start w:val="1"/>
      <w:numFmt w:val="decimal"/>
      <w:lvlText w:val="%1."/>
      <w:lvlJc w:val="left"/>
      <w:pPr>
        <w:ind w:left="420" w:hanging="420"/>
      </w:pPr>
      <w:rPr>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540A79"/>
    <w:multiLevelType w:val="hybridMultilevel"/>
    <w:tmpl w:val="112AFE9C"/>
    <w:lvl w:ilvl="0" w:tplc="03121426">
      <w:start w:val="1"/>
      <w:numFmt w:val="decimal"/>
      <w:lvlText w:val="%1."/>
      <w:lvlJc w:val="left"/>
      <w:pPr>
        <w:ind w:left="360" w:hanging="360"/>
      </w:pPr>
      <w:rPr>
        <w:rFonts w:ascii="Arial" w:hAnsi="Arial" w:cs="Arial" w:hint="default"/>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E17C29"/>
    <w:multiLevelType w:val="hybridMultilevel"/>
    <w:tmpl w:val="F3D2669A"/>
    <w:lvl w:ilvl="0" w:tplc="BE042F66">
      <w:start w:val="1"/>
      <w:numFmt w:val="decimal"/>
      <w:lvlText w:val="%1."/>
      <w:lvlJc w:val="left"/>
      <w:pPr>
        <w:ind w:left="420" w:hanging="420"/>
      </w:pPr>
      <w:rPr>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AA6737"/>
    <w:multiLevelType w:val="hybridMultilevel"/>
    <w:tmpl w:val="82EAE71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725C0410"/>
    <w:multiLevelType w:val="multilevel"/>
    <w:tmpl w:val="F3D2669A"/>
    <w:styleLink w:val="CurrentList1"/>
    <w:lvl w:ilvl="0">
      <w:start w:val="1"/>
      <w:numFmt w:val="decimal"/>
      <w:lvlText w:val="%1."/>
      <w:lvlJc w:val="left"/>
      <w:pPr>
        <w:ind w:left="420" w:hanging="420"/>
      </w:pPr>
      <w:rPr>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5841A6B"/>
    <w:multiLevelType w:val="hybridMultilevel"/>
    <w:tmpl w:val="11680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5"/>
  </w:num>
  <w:num w:numId="2">
    <w:abstractNumId w:val="13"/>
  </w:num>
  <w:num w:numId="3">
    <w:abstractNumId w:val="17"/>
  </w:num>
  <w:num w:numId="4">
    <w:abstractNumId w:val="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4"/>
  </w:num>
  <w:num w:numId="8">
    <w:abstractNumId w:val="18"/>
  </w:num>
  <w:num w:numId="9">
    <w:abstractNumId w:val="9"/>
  </w:num>
  <w:num w:numId="10">
    <w:abstractNumId w:val="22"/>
  </w:num>
  <w:num w:numId="11">
    <w:abstractNumId w:val="0"/>
  </w:num>
  <w:num w:numId="12">
    <w:abstractNumId w:val="1"/>
  </w:num>
  <w:num w:numId="13">
    <w:abstractNumId w:val="2"/>
  </w:num>
  <w:num w:numId="14">
    <w:abstractNumId w:val="11"/>
  </w:num>
  <w:num w:numId="15">
    <w:abstractNumId w:val="16"/>
  </w:num>
  <w:num w:numId="16">
    <w:abstractNumId w:val="26"/>
  </w:num>
  <w:num w:numId="17">
    <w:abstractNumId w:val="23"/>
  </w:num>
  <w:num w:numId="18">
    <w:abstractNumId w:val="29"/>
  </w:num>
  <w:num w:numId="19">
    <w:abstractNumId w:val="8"/>
  </w:num>
  <w:num w:numId="20">
    <w:abstractNumId w:val="10"/>
  </w:num>
  <w:num w:numId="21">
    <w:abstractNumId w:val="27"/>
  </w:num>
  <w:num w:numId="22">
    <w:abstractNumId w:val="5"/>
  </w:num>
  <w:num w:numId="23">
    <w:abstractNumId w:val="6"/>
  </w:num>
  <w:num w:numId="24">
    <w:abstractNumId w:val="19"/>
  </w:num>
  <w:num w:numId="25">
    <w:abstractNumId w:val="30"/>
  </w:num>
  <w:num w:numId="26">
    <w:abstractNumId w:val="4"/>
  </w:num>
  <w:num w:numId="27">
    <w:abstractNumId w:val="12"/>
  </w:num>
  <w:num w:numId="28">
    <w:abstractNumId w:val="20"/>
  </w:num>
  <w:num w:numId="29">
    <w:abstractNumId w:val="21"/>
  </w:num>
  <w:num w:numId="30">
    <w:abstractNumId w:val="25"/>
  </w:num>
  <w:num w:numId="31">
    <w:abstractNumId w:val="28"/>
  </w:num>
  <w:num w:numId="32">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1E3"/>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6C"/>
    <w:rsid w:val="00016698"/>
    <w:rsid w:val="00016B56"/>
    <w:rsid w:val="00016DCE"/>
    <w:rsid w:val="00016DDC"/>
    <w:rsid w:val="000170A0"/>
    <w:rsid w:val="0001729B"/>
    <w:rsid w:val="00017309"/>
    <w:rsid w:val="000174A4"/>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4C0"/>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2D53"/>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253"/>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27"/>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D0A"/>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0B5D"/>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C2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3E9"/>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7AD"/>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3DD4"/>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70"/>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5F6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953"/>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624"/>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1C3D"/>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54"/>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2EEE"/>
    <w:rsid w:val="0032350D"/>
    <w:rsid w:val="00323D12"/>
    <w:rsid w:val="00323FAD"/>
    <w:rsid w:val="00324010"/>
    <w:rsid w:val="0032415E"/>
    <w:rsid w:val="003242C1"/>
    <w:rsid w:val="00324731"/>
    <w:rsid w:val="003249F8"/>
    <w:rsid w:val="00324F6C"/>
    <w:rsid w:val="00325C1C"/>
    <w:rsid w:val="00325C6E"/>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67FA"/>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7C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9CE"/>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848"/>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3A1"/>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A42"/>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CAD"/>
    <w:rsid w:val="00436F2C"/>
    <w:rsid w:val="00437027"/>
    <w:rsid w:val="004370A3"/>
    <w:rsid w:val="004370C7"/>
    <w:rsid w:val="004371AB"/>
    <w:rsid w:val="00437B3D"/>
    <w:rsid w:val="004402A7"/>
    <w:rsid w:val="0044035D"/>
    <w:rsid w:val="004403B3"/>
    <w:rsid w:val="00440EA5"/>
    <w:rsid w:val="0044131C"/>
    <w:rsid w:val="0044142F"/>
    <w:rsid w:val="00441657"/>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9BC"/>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1C16"/>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1F2"/>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349"/>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3A"/>
    <w:rsid w:val="00507754"/>
    <w:rsid w:val="00507CAF"/>
    <w:rsid w:val="00507DB4"/>
    <w:rsid w:val="00507F0D"/>
    <w:rsid w:val="00510374"/>
    <w:rsid w:val="00510444"/>
    <w:rsid w:val="00510B25"/>
    <w:rsid w:val="00510B64"/>
    <w:rsid w:val="00510FF3"/>
    <w:rsid w:val="0051179B"/>
    <w:rsid w:val="00511E67"/>
    <w:rsid w:val="005126B2"/>
    <w:rsid w:val="00512747"/>
    <w:rsid w:val="00512BF7"/>
    <w:rsid w:val="00512E1C"/>
    <w:rsid w:val="00512E6A"/>
    <w:rsid w:val="0051349D"/>
    <w:rsid w:val="005136B4"/>
    <w:rsid w:val="00513F8F"/>
    <w:rsid w:val="00514455"/>
    <w:rsid w:val="005147E7"/>
    <w:rsid w:val="00514882"/>
    <w:rsid w:val="005149A2"/>
    <w:rsid w:val="005149A3"/>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6F8"/>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0CA"/>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2B8"/>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4CBB"/>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2B"/>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C3F"/>
    <w:rsid w:val="00593E31"/>
    <w:rsid w:val="00594131"/>
    <w:rsid w:val="005942B6"/>
    <w:rsid w:val="005943C6"/>
    <w:rsid w:val="00594817"/>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696"/>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3BF6"/>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0B4"/>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42"/>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8F8"/>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0A67"/>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82E"/>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366"/>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7B"/>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70D"/>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122"/>
    <w:rsid w:val="00713219"/>
    <w:rsid w:val="0071374D"/>
    <w:rsid w:val="0071405A"/>
    <w:rsid w:val="00714095"/>
    <w:rsid w:val="00714312"/>
    <w:rsid w:val="00714526"/>
    <w:rsid w:val="00714722"/>
    <w:rsid w:val="00714A2D"/>
    <w:rsid w:val="00714D6A"/>
    <w:rsid w:val="00715138"/>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B92"/>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31"/>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B30"/>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1AF"/>
    <w:rsid w:val="007912E9"/>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C70"/>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2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4C"/>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C1E"/>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30B"/>
    <w:rsid w:val="007E1479"/>
    <w:rsid w:val="007E148E"/>
    <w:rsid w:val="007E152B"/>
    <w:rsid w:val="007E1A37"/>
    <w:rsid w:val="007E1A55"/>
    <w:rsid w:val="007E1CB1"/>
    <w:rsid w:val="007E201B"/>
    <w:rsid w:val="007E2146"/>
    <w:rsid w:val="007E2B64"/>
    <w:rsid w:val="007E2B72"/>
    <w:rsid w:val="007E2B78"/>
    <w:rsid w:val="007E2E4B"/>
    <w:rsid w:val="007E2EF8"/>
    <w:rsid w:val="007E446F"/>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162"/>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634"/>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5E0"/>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D85"/>
    <w:rsid w:val="00847F04"/>
    <w:rsid w:val="00850752"/>
    <w:rsid w:val="0085130C"/>
    <w:rsid w:val="0085143E"/>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8C5"/>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97AC2"/>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89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2A6"/>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4E69"/>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B04"/>
    <w:rsid w:val="008F6CD1"/>
    <w:rsid w:val="008F6D5B"/>
    <w:rsid w:val="008F6EB8"/>
    <w:rsid w:val="008F6F2B"/>
    <w:rsid w:val="008F7069"/>
    <w:rsid w:val="008F74EA"/>
    <w:rsid w:val="008F74ED"/>
    <w:rsid w:val="008F7BD6"/>
    <w:rsid w:val="008F7CEF"/>
    <w:rsid w:val="009000FD"/>
    <w:rsid w:val="009003D0"/>
    <w:rsid w:val="009005EA"/>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70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55"/>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3A4"/>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DD9"/>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88"/>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56B"/>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76E"/>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423"/>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BCE"/>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5B81"/>
    <w:rsid w:val="00AC61B3"/>
    <w:rsid w:val="00AC63F4"/>
    <w:rsid w:val="00AC6521"/>
    <w:rsid w:val="00AC690A"/>
    <w:rsid w:val="00AC6D0A"/>
    <w:rsid w:val="00AC7BD3"/>
    <w:rsid w:val="00AD068D"/>
    <w:rsid w:val="00AD0EAA"/>
    <w:rsid w:val="00AD12BD"/>
    <w:rsid w:val="00AD163D"/>
    <w:rsid w:val="00AD1B33"/>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2DD9"/>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40"/>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CE6"/>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0FD"/>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0B05"/>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B94"/>
    <w:rsid w:val="00BA7C05"/>
    <w:rsid w:val="00BA7EA0"/>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A5A"/>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6E79"/>
    <w:rsid w:val="00C26FB4"/>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2CD"/>
    <w:rsid w:val="00C4239F"/>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67DA4"/>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292"/>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A80"/>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0FCA"/>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A6C"/>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1FA4"/>
    <w:rsid w:val="00D22148"/>
    <w:rsid w:val="00D22646"/>
    <w:rsid w:val="00D22D2B"/>
    <w:rsid w:val="00D2322E"/>
    <w:rsid w:val="00D23556"/>
    <w:rsid w:val="00D2390D"/>
    <w:rsid w:val="00D23972"/>
    <w:rsid w:val="00D23B89"/>
    <w:rsid w:val="00D23BDF"/>
    <w:rsid w:val="00D23CE2"/>
    <w:rsid w:val="00D23EAA"/>
    <w:rsid w:val="00D2592C"/>
    <w:rsid w:val="00D2601E"/>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271"/>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4B"/>
    <w:rsid w:val="00D5146D"/>
    <w:rsid w:val="00D51565"/>
    <w:rsid w:val="00D5163E"/>
    <w:rsid w:val="00D51AAF"/>
    <w:rsid w:val="00D51CBB"/>
    <w:rsid w:val="00D51E0C"/>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583"/>
    <w:rsid w:val="00DA0FC0"/>
    <w:rsid w:val="00DA1C89"/>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9F6"/>
    <w:rsid w:val="00DE5E26"/>
    <w:rsid w:val="00DE5E4B"/>
    <w:rsid w:val="00DE5F92"/>
    <w:rsid w:val="00DE603C"/>
    <w:rsid w:val="00DE61AA"/>
    <w:rsid w:val="00DE629B"/>
    <w:rsid w:val="00DE7012"/>
    <w:rsid w:val="00DE716A"/>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6D98"/>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24"/>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67C"/>
    <w:rsid w:val="00E35BD7"/>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6E10"/>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60"/>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93F"/>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52B"/>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25"/>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6C7"/>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370"/>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58C"/>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AB5"/>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20"/>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numbering" w:customStyle="1" w:styleId="CurrentList1">
    <w:name w:val="Current List1"/>
    <w:uiPriority w:val="99"/>
    <w:rsid w:val="000021E3"/>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1419165">
      <w:bodyDiv w:val="1"/>
      <w:marLeft w:val="0"/>
      <w:marRight w:val="0"/>
      <w:marTop w:val="0"/>
      <w:marBottom w:val="0"/>
      <w:divBdr>
        <w:top w:val="none" w:sz="0" w:space="0" w:color="auto"/>
        <w:left w:val="none" w:sz="0" w:space="0" w:color="auto"/>
        <w:bottom w:val="none" w:sz="0" w:space="0" w:color="auto"/>
        <w:right w:val="none" w:sz="0" w:space="0" w:color="auto"/>
      </w:divBdr>
      <w:divsChild>
        <w:div w:id="1772780613">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3350932">
      <w:bodyDiv w:val="1"/>
      <w:marLeft w:val="0"/>
      <w:marRight w:val="0"/>
      <w:marTop w:val="0"/>
      <w:marBottom w:val="0"/>
      <w:divBdr>
        <w:top w:val="none" w:sz="0" w:space="0" w:color="auto"/>
        <w:left w:val="none" w:sz="0" w:space="0" w:color="auto"/>
        <w:bottom w:val="none" w:sz="0" w:space="0" w:color="auto"/>
        <w:right w:val="none" w:sz="0" w:space="0" w:color="auto"/>
      </w:divBdr>
      <w:divsChild>
        <w:div w:id="295188998">
          <w:marLeft w:val="0"/>
          <w:marRight w:val="0"/>
          <w:marTop w:val="0"/>
          <w:marBottom w:val="0"/>
          <w:divBdr>
            <w:top w:val="none" w:sz="0" w:space="0" w:color="auto"/>
            <w:left w:val="none" w:sz="0" w:space="0" w:color="auto"/>
            <w:bottom w:val="none" w:sz="0" w:space="0" w:color="auto"/>
            <w:right w:val="none" w:sz="0" w:space="0" w:color="auto"/>
          </w:divBdr>
        </w:div>
      </w:divsChild>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4231213">
      <w:bodyDiv w:val="1"/>
      <w:marLeft w:val="0"/>
      <w:marRight w:val="0"/>
      <w:marTop w:val="0"/>
      <w:marBottom w:val="0"/>
      <w:divBdr>
        <w:top w:val="none" w:sz="0" w:space="0" w:color="auto"/>
        <w:left w:val="none" w:sz="0" w:space="0" w:color="auto"/>
        <w:bottom w:val="none" w:sz="0" w:space="0" w:color="auto"/>
        <w:right w:val="none" w:sz="0" w:space="0" w:color="auto"/>
      </w:divBdr>
      <w:divsChild>
        <w:div w:id="480778987">
          <w:marLeft w:val="0"/>
          <w:marRight w:val="0"/>
          <w:marTop w:val="0"/>
          <w:marBottom w:val="0"/>
          <w:divBdr>
            <w:top w:val="none" w:sz="0" w:space="0" w:color="auto"/>
            <w:left w:val="none" w:sz="0" w:space="0" w:color="auto"/>
            <w:bottom w:val="none" w:sz="0" w:space="0" w:color="auto"/>
            <w:right w:val="none" w:sz="0" w:space="0" w:color="auto"/>
          </w:divBdr>
        </w:div>
        <w:div w:id="744230851">
          <w:marLeft w:val="0"/>
          <w:marRight w:val="0"/>
          <w:marTop w:val="0"/>
          <w:marBottom w:val="0"/>
          <w:divBdr>
            <w:top w:val="none" w:sz="0" w:space="0" w:color="auto"/>
            <w:left w:val="none" w:sz="0" w:space="0" w:color="auto"/>
            <w:bottom w:val="none" w:sz="0" w:space="0" w:color="auto"/>
            <w:right w:val="none" w:sz="0" w:space="0" w:color="auto"/>
          </w:divBdr>
        </w:div>
        <w:div w:id="741409065">
          <w:marLeft w:val="0"/>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2092551">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4845891">
      <w:bodyDiv w:val="1"/>
      <w:marLeft w:val="0"/>
      <w:marRight w:val="0"/>
      <w:marTop w:val="0"/>
      <w:marBottom w:val="0"/>
      <w:divBdr>
        <w:top w:val="none" w:sz="0" w:space="0" w:color="auto"/>
        <w:left w:val="none" w:sz="0" w:space="0" w:color="auto"/>
        <w:bottom w:val="none" w:sz="0" w:space="0" w:color="auto"/>
        <w:right w:val="none" w:sz="0" w:space="0" w:color="auto"/>
      </w:divBdr>
      <w:divsChild>
        <w:div w:id="751507425">
          <w:marLeft w:val="0"/>
          <w:marRight w:val="0"/>
          <w:marTop w:val="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0051032">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670841">
      <w:bodyDiv w:val="1"/>
      <w:marLeft w:val="0"/>
      <w:marRight w:val="0"/>
      <w:marTop w:val="0"/>
      <w:marBottom w:val="0"/>
      <w:divBdr>
        <w:top w:val="none" w:sz="0" w:space="0" w:color="auto"/>
        <w:left w:val="none" w:sz="0" w:space="0" w:color="auto"/>
        <w:bottom w:val="none" w:sz="0" w:space="0" w:color="auto"/>
        <w:right w:val="none" w:sz="0" w:space="0" w:color="auto"/>
      </w:divBdr>
      <w:divsChild>
        <w:div w:id="376778790">
          <w:marLeft w:val="0"/>
          <w:marRight w:val="0"/>
          <w:marTop w:val="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23527794">
      <w:bodyDiv w:val="1"/>
      <w:marLeft w:val="0"/>
      <w:marRight w:val="0"/>
      <w:marTop w:val="0"/>
      <w:marBottom w:val="0"/>
      <w:divBdr>
        <w:top w:val="none" w:sz="0" w:space="0" w:color="auto"/>
        <w:left w:val="none" w:sz="0" w:space="0" w:color="auto"/>
        <w:bottom w:val="none" w:sz="0" w:space="0" w:color="auto"/>
        <w:right w:val="none" w:sz="0" w:space="0" w:color="auto"/>
      </w:divBdr>
      <w:divsChild>
        <w:div w:id="168326935">
          <w:marLeft w:val="0"/>
          <w:marRight w:val="0"/>
          <w:marTop w:val="0"/>
          <w:marBottom w:val="0"/>
          <w:divBdr>
            <w:top w:val="none" w:sz="0" w:space="0" w:color="auto"/>
            <w:left w:val="none" w:sz="0" w:space="0" w:color="auto"/>
            <w:bottom w:val="none" w:sz="0" w:space="0" w:color="auto"/>
            <w:right w:val="none" w:sz="0" w:space="0" w:color="auto"/>
          </w:divBdr>
        </w:div>
      </w:divsChild>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18421683">
      <w:bodyDiv w:val="1"/>
      <w:marLeft w:val="0"/>
      <w:marRight w:val="0"/>
      <w:marTop w:val="0"/>
      <w:marBottom w:val="0"/>
      <w:divBdr>
        <w:top w:val="none" w:sz="0" w:space="0" w:color="auto"/>
        <w:left w:val="none" w:sz="0" w:space="0" w:color="auto"/>
        <w:bottom w:val="none" w:sz="0" w:space="0" w:color="auto"/>
        <w:right w:val="none" w:sz="0" w:space="0" w:color="auto"/>
      </w:divBdr>
      <w:divsChild>
        <w:div w:id="1917590088">
          <w:marLeft w:val="0"/>
          <w:marRight w:val="0"/>
          <w:marTop w:val="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7593210">
      <w:bodyDiv w:val="1"/>
      <w:marLeft w:val="0"/>
      <w:marRight w:val="0"/>
      <w:marTop w:val="0"/>
      <w:marBottom w:val="0"/>
      <w:divBdr>
        <w:top w:val="none" w:sz="0" w:space="0" w:color="auto"/>
        <w:left w:val="none" w:sz="0" w:space="0" w:color="auto"/>
        <w:bottom w:val="none" w:sz="0" w:space="0" w:color="auto"/>
        <w:right w:val="none" w:sz="0" w:space="0" w:color="auto"/>
      </w:divBdr>
      <w:divsChild>
        <w:div w:id="905846867">
          <w:marLeft w:val="0"/>
          <w:marRight w:val="0"/>
          <w:marTop w:val="0"/>
          <w:marBottom w:val="0"/>
          <w:divBdr>
            <w:top w:val="none" w:sz="0" w:space="0" w:color="auto"/>
            <w:left w:val="none" w:sz="0" w:space="0" w:color="auto"/>
            <w:bottom w:val="none" w:sz="0" w:space="0" w:color="auto"/>
            <w:right w:val="none" w:sz="0" w:space="0" w:color="auto"/>
          </w:divBdr>
        </w:div>
        <w:div w:id="458958113">
          <w:marLeft w:val="0"/>
          <w:marRight w:val="0"/>
          <w:marTop w:val="0"/>
          <w:marBottom w:val="0"/>
          <w:divBdr>
            <w:top w:val="none" w:sz="0" w:space="0" w:color="auto"/>
            <w:left w:val="none" w:sz="0" w:space="0" w:color="auto"/>
            <w:bottom w:val="none" w:sz="0" w:space="0" w:color="auto"/>
            <w:right w:val="none" w:sz="0" w:space="0" w:color="auto"/>
          </w:divBdr>
        </w:div>
        <w:div w:id="140969396">
          <w:marLeft w:val="0"/>
          <w:marRight w:val="0"/>
          <w:marTop w:val="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0540759">
      <w:bodyDiv w:val="1"/>
      <w:marLeft w:val="0"/>
      <w:marRight w:val="0"/>
      <w:marTop w:val="0"/>
      <w:marBottom w:val="0"/>
      <w:divBdr>
        <w:top w:val="none" w:sz="0" w:space="0" w:color="auto"/>
        <w:left w:val="none" w:sz="0" w:space="0" w:color="auto"/>
        <w:bottom w:val="none" w:sz="0" w:space="0" w:color="auto"/>
        <w:right w:val="none" w:sz="0" w:space="0" w:color="auto"/>
      </w:divBdr>
      <w:divsChild>
        <w:div w:id="297415996">
          <w:marLeft w:val="0"/>
          <w:marRight w:val="0"/>
          <w:marTop w:val="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777891">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4784</TotalTime>
  <Pages>3</Pages>
  <Words>868</Words>
  <Characters>4949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5806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491</cp:revision>
  <cp:lastPrinted>2019-08-16T17:50:00Z</cp:lastPrinted>
  <dcterms:created xsi:type="dcterms:W3CDTF">2018-09-02T16:33:00Z</dcterms:created>
  <dcterms:modified xsi:type="dcterms:W3CDTF">2021-08-06T13:48:00Z</dcterms:modified>
  <cp:category/>
</cp:coreProperties>
</file>